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D4" w:rsidRDefault="00B450D4" w:rsidP="00B450D4">
      <w:pPr>
        <w:ind w:left="-1418" w:firstLine="1418"/>
        <w:jc w:val="center"/>
        <w:rPr>
          <w:rFonts w:ascii="Calibri" w:eastAsia="Times New Roman" w:hAnsi="Calibri"/>
          <w:b/>
          <w:sz w:val="22"/>
          <w:szCs w:val="22"/>
        </w:rPr>
        <w:sectPr w:rsidR="00B450D4" w:rsidSect="005F4419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 w:code="9"/>
          <w:pgMar w:top="567" w:right="1418" w:bottom="567" w:left="1418" w:header="142" w:footer="0" w:gutter="0"/>
          <w:paperSrc w:first="7" w:other="7"/>
          <w:cols w:space="720"/>
          <w:titlePg/>
          <w:docGrid w:linePitch="326"/>
        </w:sectPr>
      </w:pPr>
    </w:p>
    <w:p w:rsidR="00795807" w:rsidRPr="00002FA1" w:rsidRDefault="003C49C5" w:rsidP="00B450D4">
      <w:pPr>
        <w:jc w:val="center"/>
        <w:rPr>
          <w:b/>
          <w:color w:val="323E4F" w:themeColor="text2" w:themeShade="BF"/>
          <w:sz w:val="44"/>
        </w:rPr>
      </w:pPr>
      <w:r>
        <w:rPr>
          <w:b/>
          <w:color w:val="323E4F" w:themeColor="text2" w:themeShade="BF"/>
          <w:sz w:val="44"/>
        </w:rPr>
        <w:t>MEASLES IMMUNISATION</w:t>
      </w:r>
      <w:r w:rsidR="00795807" w:rsidRPr="00002FA1">
        <w:rPr>
          <w:b/>
          <w:color w:val="323E4F" w:themeColor="text2" w:themeShade="BF"/>
          <w:sz w:val="44"/>
        </w:rPr>
        <w:t xml:space="preserve"> </w:t>
      </w:r>
      <w:r w:rsidR="001E1A20">
        <w:rPr>
          <w:b/>
          <w:color w:val="323E4F" w:themeColor="text2" w:themeShade="BF"/>
          <w:sz w:val="44"/>
        </w:rPr>
        <w:t xml:space="preserve">ADVISORY </w:t>
      </w:r>
      <w:r w:rsidR="00B450D4">
        <w:rPr>
          <w:b/>
          <w:color w:val="323E4F" w:themeColor="text2" w:themeShade="BF"/>
          <w:sz w:val="44"/>
        </w:rPr>
        <w:t xml:space="preserve">PRIMARY &amp; SECONDARY </w:t>
      </w:r>
      <w:r w:rsidR="00795807" w:rsidRPr="00002FA1">
        <w:rPr>
          <w:b/>
          <w:color w:val="323E4F" w:themeColor="text2" w:themeShade="BF"/>
          <w:sz w:val="44"/>
        </w:rPr>
        <w:t>CARE</w:t>
      </w:r>
    </w:p>
    <w:p w:rsidR="00E33223" w:rsidRPr="001E1A20" w:rsidRDefault="00A62461" w:rsidP="00280656">
      <w:pPr>
        <w:spacing w:before="100" w:beforeAutospacing="1" w:after="100" w:afterAutospacing="1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4</w:t>
      </w:r>
      <w:r w:rsidR="005F4419">
        <w:rPr>
          <w:rFonts w:ascii="Calibri" w:eastAsia="Times New Roman" w:hAnsi="Calibri"/>
          <w:b/>
          <w:sz w:val="22"/>
          <w:szCs w:val="22"/>
        </w:rPr>
        <w:t xml:space="preserve"> December</w:t>
      </w:r>
      <w:r w:rsidR="00B925DD" w:rsidRPr="001E1A20">
        <w:rPr>
          <w:rFonts w:ascii="Calibri" w:eastAsia="Times New Roman" w:hAnsi="Calibri"/>
          <w:b/>
          <w:sz w:val="22"/>
          <w:szCs w:val="22"/>
        </w:rPr>
        <w:t xml:space="preserve"> 2019</w:t>
      </w:r>
    </w:p>
    <w:p w:rsidR="00A63ED2" w:rsidRDefault="00B31FEF" w:rsidP="00B31FEF">
      <w:pPr>
        <w:spacing w:before="100" w:beforeAutospacing="1" w:after="100" w:afterAutospacing="1"/>
        <w:rPr>
          <w:rFonts w:ascii="Calibri" w:hAnsi="Calibri" w:cs="Lato"/>
          <w:color w:val="000000"/>
          <w:sz w:val="22"/>
          <w:szCs w:val="22"/>
        </w:rPr>
      </w:pPr>
      <w:r w:rsidRPr="001E1A20">
        <w:rPr>
          <w:rFonts w:ascii="Calibri" w:hAnsi="Calibri" w:cs="Lato"/>
          <w:color w:val="000000"/>
          <w:sz w:val="22"/>
          <w:szCs w:val="22"/>
        </w:rPr>
        <w:t>The Ministry of Health has asked general practices and PHOs to reserve vaccine for the priority groups to ensure that the most vulnerable people can be protected</w:t>
      </w:r>
      <w:r w:rsidR="00A63ED2" w:rsidRPr="001E1A20">
        <w:rPr>
          <w:rFonts w:ascii="Calibri" w:hAnsi="Calibri" w:cs="Lato"/>
          <w:color w:val="000000"/>
          <w:sz w:val="22"/>
          <w:szCs w:val="22"/>
        </w:rPr>
        <w:t>.</w:t>
      </w:r>
      <w:r w:rsidR="001E1A20">
        <w:rPr>
          <w:rFonts w:ascii="Calibri" w:hAnsi="Calibri" w:cs="Lato"/>
          <w:color w:val="000000"/>
          <w:sz w:val="22"/>
          <w:szCs w:val="22"/>
        </w:rPr>
        <w:t xml:space="preserve"> </w:t>
      </w:r>
      <w:r w:rsidR="00765840">
        <w:rPr>
          <w:rFonts w:ascii="Calibri" w:hAnsi="Calibri" w:cs="Lato"/>
          <w:color w:val="000000"/>
          <w:sz w:val="22"/>
          <w:szCs w:val="22"/>
        </w:rPr>
        <w:t xml:space="preserve"> They have recently updated the priority groups which are reflected below. </w:t>
      </w:r>
    </w:p>
    <w:p w:rsidR="00765840" w:rsidRPr="00E55C20" w:rsidRDefault="00765840" w:rsidP="00B31FEF">
      <w:pPr>
        <w:spacing w:before="100" w:beforeAutospacing="1" w:after="100" w:afterAutospacing="1"/>
        <w:rPr>
          <w:rFonts w:ascii="Calibri" w:hAnsi="Calibri" w:cs="Lato"/>
          <w:b/>
          <w:color w:val="000000"/>
          <w:sz w:val="22"/>
          <w:szCs w:val="22"/>
        </w:rPr>
      </w:pPr>
      <w:r w:rsidRPr="00E55C20">
        <w:rPr>
          <w:rFonts w:ascii="Calibri" w:hAnsi="Calibri" w:cs="Lato"/>
          <w:b/>
          <w:color w:val="000000"/>
          <w:sz w:val="22"/>
          <w:szCs w:val="22"/>
        </w:rPr>
        <w:t>RSE workers are unable to be immu</w:t>
      </w:r>
      <w:r w:rsidR="0054526B" w:rsidRPr="00E55C20">
        <w:rPr>
          <w:rFonts w:ascii="Calibri" w:hAnsi="Calibri" w:cs="Lato"/>
          <w:b/>
          <w:color w:val="000000"/>
          <w:sz w:val="22"/>
          <w:szCs w:val="22"/>
        </w:rPr>
        <w:t>nised with MMR at the moment. HBDHB has</w:t>
      </w:r>
      <w:r w:rsidRPr="00E55C20">
        <w:rPr>
          <w:rFonts w:ascii="Calibri" w:hAnsi="Calibri" w:cs="Lato"/>
          <w:b/>
          <w:color w:val="000000"/>
          <w:sz w:val="22"/>
          <w:szCs w:val="22"/>
        </w:rPr>
        <w:t xml:space="preserve"> submitted a plan </w:t>
      </w:r>
      <w:proofErr w:type="gramStart"/>
      <w:r w:rsidRPr="00E55C20">
        <w:rPr>
          <w:rFonts w:ascii="Calibri" w:hAnsi="Calibri" w:cs="Lato"/>
          <w:b/>
          <w:color w:val="000000"/>
          <w:sz w:val="22"/>
          <w:szCs w:val="22"/>
        </w:rPr>
        <w:t>to  the</w:t>
      </w:r>
      <w:proofErr w:type="gramEnd"/>
      <w:r w:rsidRPr="00E55C20">
        <w:rPr>
          <w:rFonts w:ascii="Calibri" w:hAnsi="Calibri" w:cs="Lato"/>
          <w:b/>
          <w:color w:val="000000"/>
          <w:sz w:val="22"/>
          <w:szCs w:val="22"/>
        </w:rPr>
        <w:t xml:space="preserve"> Ministry to get approval to immunise this group. </w:t>
      </w:r>
    </w:p>
    <w:p w:rsidR="00B925DD" w:rsidRPr="001E1A20" w:rsidRDefault="009E1D1C" w:rsidP="00B31FEF">
      <w:pPr>
        <w:spacing w:before="100" w:beforeAutospacing="1" w:after="100" w:afterAutospacing="1"/>
        <w:rPr>
          <w:rFonts w:ascii="Calibri" w:eastAsia="Times New Roman" w:hAnsi="Calibri"/>
          <w:b/>
          <w:sz w:val="28"/>
          <w:szCs w:val="28"/>
        </w:rPr>
      </w:pPr>
      <w:r w:rsidRPr="001E1A20">
        <w:rPr>
          <w:rFonts w:ascii="Calibri" w:hAnsi="Calibri" w:cs="Lato"/>
          <w:b/>
          <w:color w:val="000000"/>
          <w:sz w:val="28"/>
          <w:szCs w:val="28"/>
        </w:rPr>
        <w:t>Hawke</w:t>
      </w:r>
      <w:r w:rsidR="00A63ED2" w:rsidRPr="001E1A20">
        <w:rPr>
          <w:rFonts w:ascii="Calibri" w:hAnsi="Calibri" w:cs="Lato"/>
          <w:b/>
          <w:color w:val="000000"/>
          <w:sz w:val="28"/>
          <w:szCs w:val="28"/>
        </w:rPr>
        <w:t>’s Bay’s</w:t>
      </w:r>
      <w:r w:rsidR="001E1A20" w:rsidRPr="001E1A20">
        <w:rPr>
          <w:rFonts w:ascii="Calibri" w:hAnsi="Calibri" w:cs="Lato"/>
          <w:b/>
          <w:color w:val="000000"/>
          <w:sz w:val="28"/>
          <w:szCs w:val="28"/>
        </w:rPr>
        <w:t xml:space="preserve"> priority groups able to be vaccinated are</w:t>
      </w:r>
      <w:r w:rsidRPr="001E1A20">
        <w:rPr>
          <w:rFonts w:ascii="Calibri" w:hAnsi="Calibri" w:cs="Lato"/>
          <w:b/>
          <w:color w:val="000000"/>
          <w:sz w:val="28"/>
          <w:szCs w:val="28"/>
        </w:rPr>
        <w:t xml:space="preserve"> outlined below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82"/>
        <w:gridCol w:w="5476"/>
      </w:tblGrid>
      <w:tr w:rsidR="00E33223" w:rsidRPr="001E1A20" w:rsidTr="00765840">
        <w:trPr>
          <w:trHeight w:val="271"/>
        </w:trPr>
        <w:tc>
          <w:tcPr>
            <w:tcW w:w="5582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b/>
                <w:sz w:val="20"/>
                <w:szCs w:val="20"/>
              </w:rPr>
              <w:t>Group for vaccination</w:t>
            </w:r>
          </w:p>
        </w:tc>
        <w:tc>
          <w:tcPr>
            <w:tcW w:w="5476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b/>
                <w:sz w:val="20"/>
                <w:szCs w:val="20"/>
              </w:rPr>
              <w:t>Active recall or opportunistic</w:t>
            </w:r>
          </w:p>
        </w:tc>
      </w:tr>
      <w:tr w:rsidR="00E33223" w:rsidRPr="001E1A20" w:rsidTr="00352F44">
        <w:trPr>
          <w:trHeight w:val="515"/>
        </w:trPr>
        <w:tc>
          <w:tcPr>
            <w:tcW w:w="5582" w:type="dxa"/>
          </w:tcPr>
          <w:p w:rsidR="00E33223" w:rsidRPr="00A62461" w:rsidRDefault="001E1A20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Schedule </w:t>
            </w:r>
            <w:r w:rsidR="00B450D4" w:rsidRPr="00A62461">
              <w:rPr>
                <w:rFonts w:ascii="Calibri" w:eastAsia="Times New Roman" w:hAnsi="Calibri"/>
                <w:sz w:val="20"/>
                <w:szCs w:val="20"/>
              </w:rPr>
              <w:t xml:space="preserve">MMR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vaccine  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months, 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 xml:space="preserve"> 4 y</w:t>
            </w:r>
            <w:r w:rsidR="00352F44" w:rsidRPr="00A62461">
              <w:rPr>
                <w:rFonts w:ascii="Calibri" w:eastAsia="Times New Roman" w:hAnsi="Calibri"/>
                <w:sz w:val="20"/>
                <w:szCs w:val="20"/>
              </w:rPr>
              <w:t>ears and under 5 years catch up</w:t>
            </w:r>
          </w:p>
        </w:tc>
        <w:tc>
          <w:tcPr>
            <w:tcW w:w="5476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Active recall</w:t>
            </w:r>
          </w:p>
        </w:tc>
      </w:tr>
      <w:tr w:rsidR="00E33223" w:rsidRPr="001E1A20" w:rsidTr="00352F44">
        <w:trPr>
          <w:trHeight w:val="267"/>
        </w:trPr>
        <w:tc>
          <w:tcPr>
            <w:tcW w:w="5582" w:type="dxa"/>
          </w:tcPr>
          <w:p w:rsidR="00352F44" w:rsidRPr="00A62461" w:rsidRDefault="00E33223" w:rsidP="008A3D2C">
            <w:pPr>
              <w:spacing w:before="100" w:before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One MMR vaccine  5</w:t>
            </w:r>
            <w:r w:rsidR="001E1A20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>-</w:t>
            </w:r>
            <w:r w:rsidR="001E1A20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15 years </w:t>
            </w:r>
          </w:p>
          <w:p w:rsidR="00352F44" w:rsidRPr="00A62461" w:rsidRDefault="00352F44" w:rsidP="00352F4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76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Active recall if child has not had any MMR vaccination previously</w:t>
            </w:r>
          </w:p>
        </w:tc>
      </w:tr>
      <w:tr w:rsidR="00E33223" w:rsidRPr="001E1A20" w:rsidTr="00765840">
        <w:trPr>
          <w:trHeight w:val="581"/>
        </w:trPr>
        <w:tc>
          <w:tcPr>
            <w:tcW w:w="5582" w:type="dxa"/>
          </w:tcPr>
          <w:p w:rsidR="00E33223" w:rsidRPr="00A62461" w:rsidRDefault="00E33223" w:rsidP="00E3322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One MMR vaccine to all susceptible contacts as part of outbreak management within a reasonable timeframe</w:t>
            </w:r>
          </w:p>
        </w:tc>
        <w:tc>
          <w:tcPr>
            <w:tcW w:w="5476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As required – in </w:t>
            </w:r>
            <w:proofErr w:type="spellStart"/>
            <w:r w:rsidRPr="00A62461">
              <w:rPr>
                <w:rFonts w:ascii="Calibri" w:eastAsia="Times New Roman" w:hAnsi="Calibri"/>
                <w:sz w:val="20"/>
                <w:szCs w:val="20"/>
              </w:rPr>
              <w:t>liason</w:t>
            </w:r>
            <w:proofErr w:type="spellEnd"/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with Public Health</w:t>
            </w:r>
          </w:p>
        </w:tc>
      </w:tr>
      <w:tr w:rsidR="00E33223" w:rsidRPr="001E1A20" w:rsidTr="00352F44">
        <w:trPr>
          <w:trHeight w:val="1385"/>
        </w:trPr>
        <w:tc>
          <w:tcPr>
            <w:tcW w:w="5582" w:type="dxa"/>
          </w:tcPr>
          <w:p w:rsidR="0060112D" w:rsidRPr="00A62461" w:rsidRDefault="00B450D4" w:rsidP="00352F44">
            <w:pPr>
              <w:spacing w:before="100" w:beforeAutospacing="1" w:after="240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One MMR vaccine </w:t>
            </w:r>
            <w:r w:rsidR="0060112D" w:rsidRPr="00A62461">
              <w:rPr>
                <w:rFonts w:ascii="Calibri" w:eastAsia="Times New Roman" w:hAnsi="Calibri"/>
                <w:sz w:val="20"/>
                <w:szCs w:val="20"/>
              </w:rPr>
              <w:t>i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>nfants  6 - 12 months travelling to Auckland or overseas to a country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with an active measles outbreak - 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>(</w:t>
            </w:r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>*</w:t>
            </w:r>
            <w:proofErr w:type="spellStart"/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>Priorix</w:t>
            </w:r>
            <w:proofErr w:type="spellEnd"/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AA575F" w:rsidRPr="00A62461">
              <w:rPr>
                <w:rFonts w:ascii="Calibri" w:eastAsia="Times New Roman" w:hAnsi="Calibri"/>
                <w:sz w:val="20"/>
                <w:szCs w:val="20"/>
              </w:rPr>
              <w:t>on prescription</w:t>
            </w:r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>from Dr or NP</w:t>
            </w:r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 xml:space="preserve">, MMRII can be administered by an authorised vaccinator without an individual prescription </w:t>
            </w:r>
            <w:r w:rsidR="00E33223" w:rsidRPr="00A62461">
              <w:rPr>
                <w:rFonts w:ascii="Calibri" w:eastAsia="Times New Roman" w:hAnsi="Calibri"/>
                <w:sz w:val="20"/>
                <w:szCs w:val="20"/>
              </w:rPr>
              <w:t>) – at the discretion of practice staff preferably 2 weeks prior to travel</w:t>
            </w:r>
          </w:p>
        </w:tc>
        <w:tc>
          <w:tcPr>
            <w:tcW w:w="5476" w:type="dxa"/>
          </w:tcPr>
          <w:p w:rsidR="00E33223" w:rsidRPr="00A62461" w:rsidRDefault="00E33223" w:rsidP="00B450D4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Opportunistic</w:t>
            </w:r>
            <w:r w:rsidR="00B450D4" w:rsidRPr="00A62461">
              <w:rPr>
                <w:rFonts w:ascii="Calibri" w:eastAsia="Times New Roman" w:hAnsi="Calibri"/>
                <w:sz w:val="20"/>
                <w:szCs w:val="20"/>
              </w:rPr>
              <w:t xml:space="preserve"> – MMR administered at </w:t>
            </w:r>
            <w:proofErr w:type="gramStart"/>
            <w:r w:rsidR="00B450D4" w:rsidRPr="00A62461">
              <w:rPr>
                <w:rFonts w:ascii="Calibri" w:eastAsia="Times New Roman" w:hAnsi="Calibri"/>
                <w:sz w:val="20"/>
                <w:szCs w:val="20"/>
              </w:rPr>
              <w:t>6  -</w:t>
            </w:r>
            <w:proofErr w:type="gramEnd"/>
            <w:r w:rsidR="00B450D4" w:rsidRPr="00A62461">
              <w:rPr>
                <w:rFonts w:ascii="Calibri" w:eastAsia="Times New Roman" w:hAnsi="Calibri"/>
                <w:sz w:val="20"/>
                <w:szCs w:val="20"/>
              </w:rPr>
              <w:t xml:space="preserve"> 11 months of age is considered dose zero. The infant will still </w:t>
            </w:r>
            <w:r w:rsidR="0060112D" w:rsidRPr="00A62461">
              <w:rPr>
                <w:rFonts w:ascii="Calibri" w:eastAsia="Times New Roman" w:hAnsi="Calibri"/>
                <w:sz w:val="20"/>
                <w:szCs w:val="20"/>
              </w:rPr>
              <w:t>require the 15 month and 4 year</w:t>
            </w:r>
            <w:r w:rsidR="00A62461" w:rsidRPr="00A62461">
              <w:rPr>
                <w:rFonts w:ascii="Calibri" w:eastAsia="Times New Roman" w:hAnsi="Calibri"/>
                <w:sz w:val="20"/>
                <w:szCs w:val="20"/>
              </w:rPr>
              <w:t xml:space="preserve"> MMR immunis</w:t>
            </w:r>
            <w:r w:rsidR="00B450D4" w:rsidRPr="00A62461">
              <w:rPr>
                <w:rFonts w:ascii="Calibri" w:eastAsia="Times New Roman" w:hAnsi="Calibri"/>
                <w:sz w:val="20"/>
                <w:szCs w:val="20"/>
              </w:rPr>
              <w:t>ations as per the schedule</w:t>
            </w:r>
          </w:p>
        </w:tc>
      </w:tr>
      <w:tr w:rsidR="00E33223" w:rsidRPr="001E1A20" w:rsidTr="00352F44">
        <w:trPr>
          <w:trHeight w:val="988"/>
        </w:trPr>
        <w:tc>
          <w:tcPr>
            <w:tcW w:w="5582" w:type="dxa"/>
          </w:tcPr>
          <w:p w:rsidR="00352F44" w:rsidRPr="00A62461" w:rsidRDefault="00E33223" w:rsidP="00E33223">
            <w:pPr>
              <w:spacing w:before="100" w:before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Children  12 – 15 months travelling to Auckland or overseas to a country with an active measles outbreak </w:t>
            </w:r>
          </w:p>
          <w:p w:rsidR="00352F44" w:rsidRPr="00A62461" w:rsidRDefault="00352F44" w:rsidP="00352F4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E33223" w:rsidRPr="00A62461" w:rsidRDefault="0060112D" w:rsidP="0060112D">
            <w:pPr>
              <w:spacing w:after="240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Children 12-15 months at parental request</w:t>
            </w:r>
          </w:p>
        </w:tc>
        <w:tc>
          <w:tcPr>
            <w:tcW w:w="5476" w:type="dxa"/>
          </w:tcPr>
          <w:p w:rsidR="00352F44" w:rsidRPr="00A62461" w:rsidRDefault="00B450D4" w:rsidP="008D06BF">
            <w:pPr>
              <w:spacing w:before="100" w:beforeAutospacing="1" w:after="100" w:afterAutospacing="1" w:line="36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Opportunistic </w:t>
            </w:r>
          </w:p>
          <w:p w:rsidR="00E33223" w:rsidRPr="00A62461" w:rsidRDefault="00E33223" w:rsidP="008D06BF">
            <w:pPr>
              <w:spacing w:after="100" w:afterAutospacing="1" w:line="36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All </w:t>
            </w:r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 xml:space="preserve">four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>15 month immunisations can</w:t>
            </w:r>
            <w:r w:rsidR="00A63ED2" w:rsidRPr="00A62461">
              <w:rPr>
                <w:rFonts w:ascii="Calibri" w:eastAsia="Times New Roman" w:hAnsi="Calibri"/>
                <w:sz w:val="20"/>
                <w:szCs w:val="20"/>
              </w:rPr>
              <w:t xml:space="preserve"> be given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at this time</w:t>
            </w:r>
          </w:p>
        </w:tc>
      </w:tr>
      <w:tr w:rsidR="00765840" w:rsidRPr="001E1A20" w:rsidTr="00AA575F">
        <w:trPr>
          <w:trHeight w:val="1402"/>
        </w:trPr>
        <w:tc>
          <w:tcPr>
            <w:tcW w:w="5582" w:type="dxa"/>
          </w:tcPr>
          <w:p w:rsidR="005F4419" w:rsidRPr="00A62461" w:rsidRDefault="004B0AE1" w:rsidP="00765840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A62461">
              <w:rPr>
                <w:rFonts w:ascii="Calibri" w:hAnsi="Calibri" w:cs="Arial"/>
                <w:sz w:val="20"/>
                <w:szCs w:val="20"/>
              </w:rPr>
              <w:t>Un-immunised eligible p</w:t>
            </w:r>
            <w:r w:rsidR="00765840" w:rsidRPr="00A62461">
              <w:rPr>
                <w:rFonts w:ascii="Calibri" w:hAnsi="Calibri" w:cs="Arial"/>
                <w:sz w:val="20"/>
                <w:szCs w:val="20"/>
              </w:rPr>
              <w:t>eople under the age of 50 travelling from New Zealand to Samoa, Tonga, Philippines and Fiji</w:t>
            </w:r>
            <w:r w:rsidR="00765840" w:rsidRPr="00A624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5C20" w:rsidRPr="00A62461">
              <w:rPr>
                <w:rFonts w:ascii="Calibri" w:hAnsi="Calibri"/>
                <w:sz w:val="20"/>
                <w:szCs w:val="20"/>
              </w:rPr>
              <w:t xml:space="preserve">or </w:t>
            </w:r>
          </w:p>
          <w:p w:rsidR="00E55C20" w:rsidRPr="00A62461" w:rsidRDefault="004B0AE1" w:rsidP="004B0AE1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A62461">
              <w:rPr>
                <w:rFonts w:ascii="Calibri" w:hAnsi="Calibri"/>
                <w:sz w:val="20"/>
                <w:szCs w:val="20"/>
              </w:rPr>
              <w:t>Un-immunised eligible p</w:t>
            </w:r>
            <w:r w:rsidR="00E55C20" w:rsidRPr="00A62461">
              <w:rPr>
                <w:rFonts w:ascii="Calibri" w:hAnsi="Calibri"/>
                <w:sz w:val="20"/>
                <w:szCs w:val="20"/>
              </w:rPr>
              <w:t xml:space="preserve">eople </w:t>
            </w:r>
            <w:r w:rsidR="00A62461" w:rsidRPr="00A62461">
              <w:rPr>
                <w:rFonts w:ascii="Calibri" w:hAnsi="Calibri"/>
                <w:sz w:val="20"/>
                <w:szCs w:val="20"/>
              </w:rPr>
              <w:t xml:space="preserve">under the age of 50 </w:t>
            </w:r>
            <w:r w:rsidR="00E55C20" w:rsidRPr="00A62461">
              <w:rPr>
                <w:rFonts w:ascii="Calibri" w:hAnsi="Calibri"/>
                <w:sz w:val="20"/>
                <w:szCs w:val="20"/>
              </w:rPr>
              <w:t>hosting visito</w:t>
            </w:r>
            <w:r w:rsidR="005F4419" w:rsidRPr="00A62461">
              <w:rPr>
                <w:rFonts w:ascii="Calibri" w:hAnsi="Calibri"/>
                <w:sz w:val="20"/>
                <w:szCs w:val="20"/>
              </w:rPr>
              <w:t>rs in their household from the</w:t>
            </w:r>
            <w:r w:rsidR="00E55C20" w:rsidRPr="00A62461">
              <w:rPr>
                <w:rFonts w:ascii="Calibri" w:hAnsi="Calibri"/>
                <w:sz w:val="20"/>
                <w:szCs w:val="20"/>
              </w:rPr>
              <w:t xml:space="preserve"> countries </w:t>
            </w:r>
            <w:r w:rsidR="005F4419" w:rsidRPr="00A62461">
              <w:rPr>
                <w:rFonts w:ascii="Calibri" w:hAnsi="Calibri"/>
                <w:sz w:val="20"/>
                <w:szCs w:val="20"/>
              </w:rPr>
              <w:t>above</w:t>
            </w:r>
            <w:r w:rsidRPr="00A6246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76" w:type="dxa"/>
          </w:tcPr>
          <w:p w:rsidR="00E55C20" w:rsidRPr="00A62461" w:rsidRDefault="00765840" w:rsidP="00765840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*New group added by the ministry in their advisory dated 20 November 2019</w:t>
            </w:r>
          </w:p>
          <w:p w:rsidR="004B0AE1" w:rsidRPr="00A62461" w:rsidRDefault="00E55C20" w:rsidP="004B0AE1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A62461">
              <w:rPr>
                <w:rFonts w:ascii="Calibri" w:eastAsia="Times New Roman" w:hAnsi="Calibri"/>
                <w:sz w:val="20"/>
                <w:szCs w:val="20"/>
              </w:rPr>
              <w:t>Opportunistic  whanau</w:t>
            </w:r>
            <w:proofErr w:type="gramEnd"/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by whanau approach</w:t>
            </w:r>
            <w:r w:rsidR="005F4419" w:rsidRPr="00A62461">
              <w:rPr>
                <w:rFonts w:ascii="Calibri" w:eastAsia="Times New Roman" w:hAnsi="Calibri"/>
                <w:sz w:val="20"/>
                <w:szCs w:val="20"/>
              </w:rPr>
              <w:t>.  O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nly available for the month of December 2019 </w:t>
            </w:r>
            <w:proofErr w:type="gramStart"/>
            <w:r w:rsidRPr="00A62461">
              <w:rPr>
                <w:rFonts w:ascii="Calibri" w:eastAsia="Times New Roman" w:hAnsi="Calibri"/>
                <w:sz w:val="20"/>
                <w:szCs w:val="20"/>
              </w:rPr>
              <w:t>( HB</w:t>
            </w:r>
            <w:proofErr w:type="gramEnd"/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specific</w:t>
            </w:r>
            <w:r w:rsidR="005F4419" w:rsidRPr="00A62461">
              <w:rPr>
                <w:rFonts w:ascii="Calibri" w:eastAsia="Times New Roman" w:hAnsi="Calibri"/>
                <w:sz w:val="20"/>
                <w:szCs w:val="20"/>
              </w:rPr>
              <w:t xml:space="preserve"> group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4B0AE1" w:rsidRPr="00A62461">
              <w:rPr>
                <w:rFonts w:ascii="Calibri" w:eastAsia="Times New Roman" w:hAnsi="Calibri"/>
                <w:sz w:val="20"/>
                <w:szCs w:val="20"/>
              </w:rPr>
              <w:t>)</w:t>
            </w:r>
            <w:r w:rsidR="00AA575F" w:rsidRPr="00A62461">
              <w:rPr>
                <w:rFonts w:ascii="Calibri" w:eastAsia="Times New Roman" w:hAnsi="Calibri"/>
                <w:sz w:val="20"/>
                <w:szCs w:val="20"/>
              </w:rPr>
              <w:t>.</w:t>
            </w:r>
          </w:p>
        </w:tc>
      </w:tr>
      <w:tr w:rsidR="00765840" w:rsidRPr="001E1A20" w:rsidTr="00352F44">
        <w:trPr>
          <w:trHeight w:val="929"/>
        </w:trPr>
        <w:tc>
          <w:tcPr>
            <w:tcW w:w="5582" w:type="dxa"/>
          </w:tcPr>
          <w:p w:rsidR="00765840" w:rsidRPr="00A62461" w:rsidRDefault="00A62461" w:rsidP="00A62461">
            <w:pPr>
              <w:pStyle w:val="NormalWeb"/>
              <w:rPr>
                <w:rFonts w:ascii="Calibri" w:eastAsiaTheme="minorHAnsi" w:hAnsi="Calibri"/>
                <w:sz w:val="20"/>
                <w:szCs w:val="20"/>
              </w:rPr>
            </w:pPr>
            <w:r w:rsidRPr="00A62461">
              <w:rPr>
                <w:rFonts w:ascii="Calibri" w:hAnsi="Calibri" w:cs="Arial"/>
                <w:sz w:val="20"/>
                <w:szCs w:val="20"/>
              </w:rPr>
              <w:t>Un-immunised eligible p</w:t>
            </w:r>
            <w:r w:rsidR="00765840" w:rsidRPr="00A62461">
              <w:rPr>
                <w:rFonts w:ascii="Calibri" w:hAnsi="Calibri" w:cs="Arial"/>
                <w:sz w:val="20"/>
                <w:szCs w:val="20"/>
              </w:rPr>
              <w:t xml:space="preserve">eople travelling to a region where there is an active outbreak of measles – regions with measles outbreaks can be found at </w:t>
            </w:r>
            <w:hyperlink r:id="rId11" w:history="1">
              <w:r w:rsidR="00765840" w:rsidRPr="00A62461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https://wwwnc.cdc.gov/travel/notices/watch/measles-global</w:t>
              </w:r>
            </w:hyperlink>
            <w:r w:rsidR="00765840" w:rsidRPr="00A6246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476" w:type="dxa"/>
          </w:tcPr>
          <w:p w:rsidR="00765840" w:rsidRPr="00A62461" w:rsidRDefault="00765840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*New group added by the ministry in their advisory dated 20 November 2019</w:t>
            </w:r>
          </w:p>
        </w:tc>
      </w:tr>
      <w:tr w:rsidR="00E33223" w:rsidRPr="001E1A20" w:rsidTr="00352F44">
        <w:trPr>
          <w:trHeight w:val="739"/>
        </w:trPr>
        <w:tc>
          <w:tcPr>
            <w:tcW w:w="5582" w:type="dxa"/>
          </w:tcPr>
          <w:p w:rsidR="00352F44" w:rsidRPr="00A62461" w:rsidRDefault="00E33223" w:rsidP="00352F44">
            <w:pPr>
              <w:spacing w:before="100" w:beforeAutospacing="1" w:after="240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One or two MMR vaccines ( 4 weeks apart) for frontline healthcare workers or practice staff that are unimmunised or have unknown immunity status</w:t>
            </w:r>
          </w:p>
        </w:tc>
        <w:tc>
          <w:tcPr>
            <w:tcW w:w="5476" w:type="dxa"/>
          </w:tcPr>
          <w:p w:rsidR="00E33223" w:rsidRPr="00A62461" w:rsidRDefault="00E33223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Active finding of non-immune front line health staff</w:t>
            </w:r>
          </w:p>
        </w:tc>
      </w:tr>
      <w:tr w:rsidR="00A63ED2" w:rsidRPr="001E1A20" w:rsidTr="008D06BF">
        <w:trPr>
          <w:trHeight w:val="1366"/>
        </w:trPr>
        <w:tc>
          <w:tcPr>
            <w:tcW w:w="5582" w:type="dxa"/>
          </w:tcPr>
          <w:p w:rsidR="008A3D2C" w:rsidRPr="00A62461" w:rsidRDefault="008A29F2" w:rsidP="00E33223">
            <w:pPr>
              <w:spacing w:before="100" w:before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>One MMR vaccine on a case by case basis for</w:t>
            </w:r>
            <w:r w:rsidR="004B0AE1" w:rsidRPr="00A62461">
              <w:rPr>
                <w:rFonts w:ascii="Calibri" w:eastAsia="Times New Roman" w:hAnsi="Calibri"/>
                <w:sz w:val="20"/>
                <w:szCs w:val="20"/>
              </w:rPr>
              <w:t xml:space="preserve"> eligible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individuals whose </w:t>
            </w:r>
            <w:r w:rsidR="006C5C52" w:rsidRPr="00A62461">
              <w:rPr>
                <w:rFonts w:ascii="Calibri" w:eastAsia="Times New Roman" w:hAnsi="Calibri"/>
                <w:sz w:val="20"/>
                <w:szCs w:val="20"/>
              </w:rPr>
              <w:t xml:space="preserve">life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>sit</w:t>
            </w:r>
            <w:r w:rsidR="006C5C52" w:rsidRPr="00A62461">
              <w:rPr>
                <w:rFonts w:ascii="Calibri" w:eastAsia="Times New Roman" w:hAnsi="Calibri"/>
                <w:sz w:val="20"/>
                <w:szCs w:val="20"/>
              </w:rPr>
              <w:t>uation would be significantly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impacted </w:t>
            </w:r>
            <w:r w:rsidR="006C5C52" w:rsidRPr="00A62461">
              <w:rPr>
                <w:rFonts w:ascii="Calibri" w:eastAsia="Times New Roman" w:hAnsi="Calibri"/>
                <w:sz w:val="20"/>
                <w:szCs w:val="20"/>
              </w:rPr>
              <w:t>if vaccination was refused</w:t>
            </w:r>
            <w:r w:rsidR="0060112D" w:rsidRPr="00A62461">
              <w:rPr>
                <w:rFonts w:ascii="Calibri" w:eastAsia="Times New Roman" w:hAnsi="Calibri"/>
                <w:sz w:val="20"/>
                <w:szCs w:val="20"/>
              </w:rPr>
              <w:t xml:space="preserve"> (this does not include school or early childhood teachers)</w:t>
            </w:r>
          </w:p>
        </w:tc>
        <w:tc>
          <w:tcPr>
            <w:tcW w:w="5476" w:type="dxa"/>
          </w:tcPr>
          <w:p w:rsidR="008D06BF" w:rsidRPr="00A62461" w:rsidRDefault="006C5C52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Opportunistic on discussion with practice nurse or Dr with reason for vaccination documented. </w:t>
            </w:r>
          </w:p>
          <w:p w:rsidR="006C5C52" w:rsidRPr="00A62461" w:rsidRDefault="006C5C52" w:rsidP="00D00EC3">
            <w:pPr>
              <w:spacing w:before="100" w:beforeAutospacing="1" w:after="100" w:afterAutospacing="1"/>
              <w:rPr>
                <w:rFonts w:ascii="Calibri" w:eastAsia="Times New Roman" w:hAnsi="Calibri"/>
                <w:sz w:val="20"/>
                <w:szCs w:val="20"/>
              </w:rPr>
            </w:pP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Example for </w:t>
            </w:r>
            <w:r w:rsidR="003C49C5" w:rsidRPr="00A62461">
              <w:rPr>
                <w:rFonts w:ascii="Calibri" w:eastAsia="Times New Roman" w:hAnsi="Calibri"/>
                <w:sz w:val="20"/>
                <w:szCs w:val="20"/>
              </w:rPr>
              <w:t>recei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>ving initial MMR –</w:t>
            </w:r>
            <w:r w:rsidR="003C49C5" w:rsidRPr="00A62461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A62461">
              <w:rPr>
                <w:rFonts w:ascii="Calibri" w:eastAsia="Times New Roman" w:hAnsi="Calibri"/>
                <w:sz w:val="20"/>
                <w:szCs w:val="20"/>
              </w:rPr>
              <w:t xml:space="preserve"> family member recentl</w:t>
            </w:r>
            <w:r w:rsidR="005A7DB5" w:rsidRPr="00A62461">
              <w:rPr>
                <w:rFonts w:ascii="Calibri" w:eastAsia="Times New Roman" w:hAnsi="Calibri"/>
                <w:sz w:val="20"/>
                <w:szCs w:val="20"/>
              </w:rPr>
              <w:t>y diagnosed with cancer</w:t>
            </w:r>
          </w:p>
        </w:tc>
      </w:tr>
    </w:tbl>
    <w:p w:rsidR="00A32835" w:rsidRDefault="00A32835" w:rsidP="008A29F2">
      <w:pPr>
        <w:pStyle w:val="Pa1"/>
        <w:rPr>
          <w:rFonts w:ascii="Calibri" w:hAnsi="Calibri" w:cs="Lato"/>
          <w:color w:val="000000"/>
          <w:sz w:val="22"/>
          <w:szCs w:val="22"/>
        </w:rPr>
      </w:pPr>
    </w:p>
    <w:p w:rsidR="00A62461" w:rsidRPr="00A62461" w:rsidRDefault="00A62461" w:rsidP="00A62461">
      <w:pPr>
        <w:pStyle w:val="Default"/>
      </w:pPr>
    </w:p>
    <w:p w:rsidR="008A29F2" w:rsidRPr="001E1A20" w:rsidRDefault="001E1A20" w:rsidP="008A29F2">
      <w:pPr>
        <w:pStyle w:val="Pa1"/>
        <w:rPr>
          <w:rFonts w:ascii="Calibri" w:hAnsi="Calibri" w:cs="Lato"/>
          <w:color w:val="000000"/>
          <w:sz w:val="20"/>
          <w:szCs w:val="20"/>
        </w:rPr>
      </w:pPr>
      <w:r>
        <w:rPr>
          <w:rFonts w:ascii="Calibri" w:hAnsi="Calibri" w:cs="Lato"/>
          <w:color w:val="000000"/>
          <w:sz w:val="22"/>
          <w:szCs w:val="22"/>
        </w:rPr>
        <w:t>*</w:t>
      </w:r>
      <w:r w:rsidR="008A29F2" w:rsidRPr="001E1A20">
        <w:rPr>
          <w:rFonts w:ascii="Calibri" w:hAnsi="Calibri"/>
          <w:sz w:val="22"/>
          <w:szCs w:val="22"/>
        </w:rPr>
        <w:t xml:space="preserve"> </w:t>
      </w:r>
      <w:proofErr w:type="spellStart"/>
      <w:r w:rsidR="008A29F2" w:rsidRPr="001E1A20">
        <w:rPr>
          <w:rStyle w:val="A2"/>
          <w:rFonts w:ascii="Calibri" w:hAnsi="Calibri"/>
          <w:sz w:val="20"/>
          <w:szCs w:val="20"/>
        </w:rPr>
        <w:t>Priorix</w:t>
      </w:r>
      <w:proofErr w:type="spellEnd"/>
      <w:r w:rsidR="008A29F2" w:rsidRPr="001E1A20">
        <w:rPr>
          <w:rStyle w:val="A5"/>
          <w:rFonts w:ascii="Calibri" w:hAnsi="Calibri"/>
          <w:sz w:val="20"/>
          <w:szCs w:val="20"/>
        </w:rPr>
        <w:t xml:space="preserve">® </w:t>
      </w:r>
    </w:p>
    <w:p w:rsidR="008A29F2" w:rsidRPr="001E1A20" w:rsidRDefault="008A29F2" w:rsidP="008A29F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1E1A20">
        <w:rPr>
          <w:rFonts w:ascii="Calibri" w:hAnsi="Calibri"/>
          <w:sz w:val="20"/>
          <w:szCs w:val="20"/>
        </w:rPr>
        <w:t xml:space="preserve">The administration of </w:t>
      </w:r>
      <w:proofErr w:type="spellStart"/>
      <w:r w:rsidRPr="001E1A20">
        <w:rPr>
          <w:rFonts w:ascii="Calibri" w:hAnsi="Calibri"/>
          <w:sz w:val="20"/>
          <w:szCs w:val="20"/>
        </w:rPr>
        <w:t>Priorix</w:t>
      </w:r>
      <w:proofErr w:type="spellEnd"/>
      <w:r w:rsidRPr="001E1A20">
        <w:rPr>
          <w:rStyle w:val="A5"/>
          <w:rFonts w:ascii="Calibri" w:hAnsi="Calibri"/>
          <w:sz w:val="20"/>
          <w:szCs w:val="20"/>
        </w:rPr>
        <w:t xml:space="preserve">® </w:t>
      </w:r>
      <w:r w:rsidRPr="001E1A20">
        <w:rPr>
          <w:rFonts w:ascii="Calibri" w:hAnsi="Calibri"/>
          <w:sz w:val="20"/>
          <w:szCs w:val="20"/>
        </w:rPr>
        <w:t xml:space="preserve">to infants aged 6–11 months is off-label. There are no safety concerns. </w:t>
      </w:r>
    </w:p>
    <w:p w:rsidR="008A29F2" w:rsidRPr="001E1A20" w:rsidRDefault="008A29F2" w:rsidP="008A29F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1E1A20">
        <w:rPr>
          <w:rFonts w:ascii="Calibri" w:hAnsi="Calibri"/>
          <w:sz w:val="20"/>
          <w:szCs w:val="20"/>
        </w:rPr>
        <w:t xml:space="preserve">Every dose needs to be individually prescribed. </w:t>
      </w:r>
    </w:p>
    <w:p w:rsidR="008A29F2" w:rsidRPr="001E1A20" w:rsidRDefault="008A29F2" w:rsidP="008A29F2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proofErr w:type="spellStart"/>
      <w:r w:rsidRPr="001E1A20">
        <w:rPr>
          <w:rFonts w:ascii="Calibri" w:hAnsi="Calibri"/>
          <w:sz w:val="20"/>
          <w:szCs w:val="20"/>
        </w:rPr>
        <w:t>Priorix</w:t>
      </w:r>
      <w:proofErr w:type="spellEnd"/>
      <w:r w:rsidRPr="001E1A20">
        <w:rPr>
          <w:rFonts w:ascii="Calibri" w:hAnsi="Calibri"/>
          <w:sz w:val="20"/>
          <w:szCs w:val="20"/>
        </w:rPr>
        <w:t xml:space="preserve"> cannot be administered to infants aged 6–11 months under a standing order. </w:t>
      </w:r>
    </w:p>
    <w:p w:rsidR="008A29F2" w:rsidRPr="001E1A20" w:rsidRDefault="008A29F2" w:rsidP="008A29F2">
      <w:pPr>
        <w:pStyle w:val="Default"/>
        <w:rPr>
          <w:rFonts w:ascii="Calibri" w:hAnsi="Calibri"/>
          <w:sz w:val="16"/>
          <w:szCs w:val="16"/>
        </w:rPr>
      </w:pPr>
    </w:p>
    <w:p w:rsidR="008A29F2" w:rsidRPr="001E1A20" w:rsidRDefault="008A29F2" w:rsidP="008A29F2">
      <w:pPr>
        <w:pStyle w:val="Pa1"/>
        <w:rPr>
          <w:rFonts w:ascii="Calibri" w:hAnsi="Calibri" w:cs="Lato"/>
          <w:color w:val="000000"/>
          <w:sz w:val="20"/>
          <w:szCs w:val="20"/>
        </w:rPr>
      </w:pPr>
      <w:r w:rsidRPr="001E1A20">
        <w:rPr>
          <w:rStyle w:val="A2"/>
          <w:rFonts w:ascii="Calibri" w:hAnsi="Calibri"/>
          <w:sz w:val="20"/>
          <w:szCs w:val="20"/>
        </w:rPr>
        <w:t>M-M-R</w:t>
      </w:r>
      <w:r w:rsidRPr="001E1A20">
        <w:rPr>
          <w:rStyle w:val="A5"/>
          <w:rFonts w:ascii="Calibri" w:hAnsi="Calibri"/>
          <w:sz w:val="20"/>
          <w:szCs w:val="20"/>
        </w:rPr>
        <w:t xml:space="preserve">® </w:t>
      </w:r>
      <w:r w:rsidRPr="001E1A20">
        <w:rPr>
          <w:rStyle w:val="A2"/>
          <w:rFonts w:ascii="Calibri" w:hAnsi="Calibri"/>
          <w:sz w:val="20"/>
          <w:szCs w:val="20"/>
        </w:rPr>
        <w:t xml:space="preserve">II </w:t>
      </w:r>
    </w:p>
    <w:p w:rsidR="008A29F2" w:rsidRPr="001E1A20" w:rsidRDefault="008A29F2" w:rsidP="008A29F2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E1A20">
        <w:rPr>
          <w:rFonts w:ascii="Calibri" w:hAnsi="Calibri"/>
          <w:sz w:val="20"/>
          <w:szCs w:val="20"/>
        </w:rPr>
        <w:t xml:space="preserve">Authorised vaccinators in primary care can administer the M-M-R II vaccine to infants aged 6–11 months without an individual prescription. </w:t>
      </w:r>
    </w:p>
    <w:p w:rsidR="008A29F2" w:rsidRPr="001E1A20" w:rsidRDefault="008A29F2" w:rsidP="008A29F2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E1A20">
        <w:rPr>
          <w:rFonts w:ascii="Calibri" w:hAnsi="Calibri"/>
          <w:sz w:val="20"/>
          <w:szCs w:val="20"/>
        </w:rPr>
        <w:t xml:space="preserve">M-M-R II can be administered to infants aged 6–11 months under a standing order in any community based targeted immunisation programmes. </w:t>
      </w:r>
    </w:p>
    <w:p w:rsidR="001E1A20" w:rsidRPr="001E1A20" w:rsidRDefault="001E1A20" w:rsidP="001E1A20">
      <w:pPr>
        <w:pStyle w:val="Default"/>
        <w:rPr>
          <w:rFonts w:ascii="Calibri" w:hAnsi="Calibri"/>
          <w:sz w:val="22"/>
          <w:szCs w:val="22"/>
        </w:rPr>
      </w:pPr>
    </w:p>
    <w:p w:rsidR="001E1A20" w:rsidRDefault="001E1A20" w:rsidP="001E1A20">
      <w:pPr>
        <w:pStyle w:val="Pa0"/>
        <w:rPr>
          <w:rFonts w:ascii="Calibri" w:hAnsi="Calibri" w:cs="Lato"/>
          <w:b/>
          <w:bCs/>
          <w:color w:val="000000"/>
          <w:sz w:val="28"/>
          <w:szCs w:val="28"/>
        </w:rPr>
      </w:pPr>
      <w:r w:rsidRPr="001E1A20">
        <w:rPr>
          <w:rFonts w:ascii="Calibri" w:hAnsi="Calibri" w:cs="Lato"/>
          <w:b/>
          <w:bCs/>
          <w:color w:val="000000"/>
          <w:sz w:val="28"/>
          <w:szCs w:val="28"/>
        </w:rPr>
        <w:t>MMR vacc</w:t>
      </w:r>
      <w:r>
        <w:rPr>
          <w:rFonts w:ascii="Calibri" w:hAnsi="Calibri" w:cs="Lato"/>
          <w:b/>
          <w:bCs/>
          <w:color w:val="000000"/>
          <w:sz w:val="28"/>
          <w:szCs w:val="28"/>
        </w:rPr>
        <w:t>ination for non-priority groups</w:t>
      </w:r>
      <w:r w:rsidRPr="001E1A20">
        <w:rPr>
          <w:rFonts w:ascii="Calibri" w:hAnsi="Calibri" w:cs="Lato"/>
          <w:b/>
          <w:bCs/>
          <w:color w:val="000000"/>
          <w:sz w:val="28"/>
          <w:szCs w:val="28"/>
        </w:rPr>
        <w:t xml:space="preserve"> </w:t>
      </w:r>
    </w:p>
    <w:p w:rsidR="001E1A20" w:rsidRPr="0060112D" w:rsidRDefault="001E1A20" w:rsidP="001E1A20">
      <w:pPr>
        <w:pStyle w:val="Default"/>
        <w:rPr>
          <w:rFonts w:ascii="Calibri" w:hAnsi="Calibri"/>
          <w:sz w:val="22"/>
          <w:szCs w:val="22"/>
        </w:rPr>
      </w:pPr>
    </w:p>
    <w:p w:rsidR="001E1A20" w:rsidRDefault="001E1A20" w:rsidP="001E1A20">
      <w:pPr>
        <w:pStyle w:val="Pa1"/>
        <w:rPr>
          <w:rFonts w:ascii="Calibri" w:hAnsi="Calibri" w:cs="Lato"/>
          <w:color w:val="000000"/>
          <w:sz w:val="22"/>
          <w:szCs w:val="22"/>
        </w:rPr>
      </w:pPr>
      <w:r w:rsidRPr="001E1A20">
        <w:rPr>
          <w:rFonts w:ascii="Calibri" w:hAnsi="Calibri" w:cs="Lato"/>
          <w:color w:val="000000"/>
          <w:sz w:val="22"/>
          <w:szCs w:val="22"/>
        </w:rPr>
        <w:t xml:space="preserve">Please add a recall in the PMS to contact those who request MMR vaccination but are not able to receive it at this time. </w:t>
      </w:r>
    </w:p>
    <w:p w:rsidR="00F357EC" w:rsidRPr="00F357EC" w:rsidRDefault="00F357EC" w:rsidP="00F357EC">
      <w:pPr>
        <w:pStyle w:val="Default"/>
      </w:pPr>
    </w:p>
    <w:p w:rsidR="001E1A20" w:rsidRDefault="001E1A20" w:rsidP="001E1A20">
      <w:pPr>
        <w:pStyle w:val="Default"/>
        <w:rPr>
          <w:rFonts w:ascii="Calibri" w:hAnsi="Calibri"/>
          <w:sz w:val="22"/>
          <w:szCs w:val="22"/>
        </w:rPr>
      </w:pPr>
      <w:r w:rsidRPr="001E1A20">
        <w:rPr>
          <w:rFonts w:ascii="Calibri" w:hAnsi="Calibri"/>
          <w:sz w:val="22"/>
          <w:szCs w:val="22"/>
        </w:rPr>
        <w:t>When stocks are secure, practices should offer MMR vaccine to all those who need it, to bring them up to two documented doses as per the Schedule.</w:t>
      </w:r>
    </w:p>
    <w:p w:rsidR="0060112D" w:rsidRDefault="0060112D" w:rsidP="001E1A20">
      <w:pPr>
        <w:pStyle w:val="Default"/>
        <w:rPr>
          <w:rFonts w:ascii="Calibri" w:hAnsi="Calibri"/>
          <w:sz w:val="22"/>
          <w:szCs w:val="22"/>
        </w:rPr>
      </w:pPr>
    </w:p>
    <w:p w:rsidR="0060112D" w:rsidRDefault="0060112D" w:rsidP="001E1A20">
      <w:pPr>
        <w:pStyle w:val="Default"/>
        <w:rPr>
          <w:rFonts w:ascii="Calibri" w:hAnsi="Calibri"/>
          <w:sz w:val="22"/>
          <w:szCs w:val="22"/>
        </w:rPr>
      </w:pPr>
    </w:p>
    <w:p w:rsidR="0054526B" w:rsidRDefault="0054526B" w:rsidP="0060112D">
      <w:pPr>
        <w:pStyle w:val="Default"/>
        <w:tabs>
          <w:tab w:val="left" w:pos="567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MMRII Vaccine brand packaging</w:t>
      </w:r>
    </w:p>
    <w:p w:rsidR="0054526B" w:rsidRDefault="0054526B" w:rsidP="0060112D">
      <w:pPr>
        <w:pStyle w:val="Default"/>
        <w:tabs>
          <w:tab w:val="left" w:pos="5670"/>
        </w:tabs>
        <w:rPr>
          <w:rFonts w:ascii="Calibri" w:hAnsi="Calibri"/>
          <w:b/>
          <w:sz w:val="28"/>
          <w:szCs w:val="28"/>
        </w:rPr>
      </w:pPr>
    </w:p>
    <w:p w:rsidR="0060112D" w:rsidRPr="0054526B" w:rsidRDefault="0054526B" w:rsidP="0060112D">
      <w:pPr>
        <w:pStyle w:val="Default"/>
        <w:tabs>
          <w:tab w:val="left" w:pos="567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As your stocks of </w:t>
      </w:r>
      <w:proofErr w:type="spellStart"/>
      <w:r>
        <w:rPr>
          <w:rFonts w:ascii="Calibri" w:hAnsi="Calibri"/>
          <w:sz w:val="22"/>
          <w:szCs w:val="22"/>
        </w:rPr>
        <w:t>priorix</w:t>
      </w:r>
      <w:proofErr w:type="spellEnd"/>
      <w:r>
        <w:rPr>
          <w:rFonts w:ascii="Calibri" w:hAnsi="Calibri"/>
          <w:sz w:val="22"/>
          <w:szCs w:val="22"/>
        </w:rPr>
        <w:t xml:space="preserve"> diminish MMRII will be the vaccine brand </w:t>
      </w:r>
      <w:proofErr w:type="gramStart"/>
      <w:r>
        <w:rPr>
          <w:rFonts w:ascii="Calibri" w:hAnsi="Calibri"/>
          <w:sz w:val="22"/>
          <w:szCs w:val="22"/>
        </w:rPr>
        <w:t xml:space="preserve">that </w:t>
      </w:r>
      <w:r w:rsidR="0060112D" w:rsidRPr="00BA4D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will</w:t>
      </w:r>
      <w:proofErr w:type="gramEnd"/>
      <w:r>
        <w:rPr>
          <w:rFonts w:ascii="Calibri" w:hAnsi="Calibri"/>
          <w:sz w:val="22"/>
          <w:szCs w:val="22"/>
        </w:rPr>
        <w:t xml:space="preserve"> be arriving at your practice. </w:t>
      </w:r>
      <w:r w:rsidR="0060112D" w:rsidRPr="00BA4DB1">
        <w:rPr>
          <w:rFonts w:ascii="Calibri" w:hAnsi="Calibri"/>
          <w:sz w:val="22"/>
          <w:szCs w:val="22"/>
        </w:rPr>
        <w:t xml:space="preserve">This vaccine has </w:t>
      </w:r>
      <w:r>
        <w:rPr>
          <w:rFonts w:ascii="Calibri" w:hAnsi="Calibri"/>
          <w:sz w:val="22"/>
          <w:szCs w:val="22"/>
        </w:rPr>
        <w:t xml:space="preserve">5 </w:t>
      </w:r>
      <w:r w:rsidR="0060112D" w:rsidRPr="00BA4DB1">
        <w:rPr>
          <w:rFonts w:ascii="Calibri" w:hAnsi="Calibri"/>
          <w:sz w:val="22"/>
          <w:szCs w:val="22"/>
        </w:rPr>
        <w:t xml:space="preserve">vials with the freeze dried </w:t>
      </w:r>
      <w:proofErr w:type="gramStart"/>
      <w:r w:rsidR="0060112D" w:rsidRPr="00BA4DB1">
        <w:rPr>
          <w:rFonts w:ascii="Calibri" w:hAnsi="Calibri"/>
          <w:sz w:val="22"/>
          <w:szCs w:val="22"/>
        </w:rPr>
        <w:t xml:space="preserve">pellet </w:t>
      </w:r>
      <w:r>
        <w:rPr>
          <w:rFonts w:ascii="Calibri" w:hAnsi="Calibri"/>
          <w:sz w:val="22"/>
          <w:szCs w:val="22"/>
        </w:rPr>
        <w:t xml:space="preserve"> and</w:t>
      </w:r>
      <w:proofErr w:type="gramEnd"/>
      <w:r>
        <w:rPr>
          <w:rFonts w:ascii="Calibri" w:hAnsi="Calibri"/>
          <w:sz w:val="22"/>
          <w:szCs w:val="22"/>
        </w:rPr>
        <w:t xml:space="preserve"> 5 vials of diluent contained within the same box – so 5 doses per box. This is to ensure that the correct diluent is used when reconstituting this vaccine. </w:t>
      </w:r>
      <w:r w:rsidR="0060112D" w:rsidRPr="00BA4DB1">
        <w:rPr>
          <w:rFonts w:ascii="Calibri" w:hAnsi="Calibri"/>
          <w:sz w:val="22"/>
          <w:szCs w:val="22"/>
        </w:rPr>
        <w:t xml:space="preserve"> </w:t>
      </w:r>
    </w:p>
    <w:p w:rsidR="0060112D" w:rsidRDefault="0060112D" w:rsidP="001E1A20">
      <w:pPr>
        <w:pStyle w:val="Default"/>
        <w:rPr>
          <w:rFonts w:ascii="Calibri" w:hAnsi="Calibri"/>
          <w:sz w:val="22"/>
          <w:szCs w:val="22"/>
        </w:rPr>
      </w:pPr>
    </w:p>
    <w:p w:rsidR="003C49C5" w:rsidRDefault="00394D12" w:rsidP="00394D12">
      <w:pPr>
        <w:pStyle w:val="Default"/>
        <w:tabs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A6033" w:rsidRDefault="000A6033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</w:p>
    <w:p w:rsidR="005A7DB5" w:rsidRDefault="005A7DB5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 xml:space="preserve">Thank you for your ongoing support </w:t>
      </w:r>
    </w:p>
    <w:p w:rsidR="005A7DB5" w:rsidRDefault="008A3D2C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</w:p>
    <w:p w:rsidR="005A7DB5" w:rsidRDefault="005A7DB5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</w:p>
    <w:p w:rsidR="005A7DB5" w:rsidRDefault="005A7DB5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</w:p>
    <w:p w:rsidR="005A7DB5" w:rsidRDefault="00F357EC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noProof/>
          <w:color w:val="auto"/>
          <w:sz w:val="22"/>
          <w:szCs w:val="22"/>
        </w:rPr>
        <w:drawing>
          <wp:inline distT="0" distB="0" distL="0" distR="0">
            <wp:extent cx="1267002" cy="61921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hel's electronic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D2C">
        <w:rPr>
          <w:rFonts w:ascii="Calibri" w:eastAsiaTheme="minorHAnsi" w:hAnsi="Calibri" w:cs="Times New Roman"/>
          <w:color w:val="auto"/>
          <w:sz w:val="22"/>
          <w:szCs w:val="22"/>
        </w:rPr>
        <w:tab/>
      </w:r>
      <w:r w:rsidR="008A3D2C">
        <w:rPr>
          <w:rFonts w:ascii="Calibri" w:eastAsiaTheme="minorHAnsi" w:hAnsi="Calibri" w:cs="Times New Roman"/>
          <w:color w:val="auto"/>
          <w:sz w:val="22"/>
          <w:szCs w:val="22"/>
        </w:rPr>
        <w:tab/>
      </w:r>
      <w:r w:rsidR="008A3D2C">
        <w:rPr>
          <w:rFonts w:ascii="Calibri" w:eastAsiaTheme="minorHAnsi" w:hAnsi="Calibri" w:cs="Times New Roman"/>
          <w:color w:val="auto"/>
          <w:sz w:val="22"/>
          <w:szCs w:val="22"/>
        </w:rPr>
        <w:tab/>
      </w:r>
      <w:r w:rsidR="008A3D2C">
        <w:rPr>
          <w:rFonts w:ascii="Calibri" w:eastAsiaTheme="minorHAnsi" w:hAnsi="Calibri" w:cs="Times New Roman"/>
          <w:color w:val="auto"/>
          <w:sz w:val="22"/>
          <w:szCs w:val="22"/>
        </w:rPr>
        <w:tab/>
        <w:t xml:space="preserve">       </w:t>
      </w:r>
      <w:r w:rsidR="008A3D2C">
        <w:rPr>
          <w:rFonts w:ascii="Arial" w:hAnsi="Arial" w:cs="Arial"/>
          <w:noProof/>
        </w:rPr>
        <w:drawing>
          <wp:inline distT="0" distB="0" distL="0" distR="0" wp14:anchorId="7A216335" wp14:editId="6DE7D379">
            <wp:extent cx="1341120" cy="6216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DB5" w:rsidRDefault="005A7DB5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>Dr Rachel Eyre</w:t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  <w:t>Fiona Jackson</w:t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</w:p>
    <w:p w:rsidR="005A7DB5" w:rsidRDefault="005A7DB5" w:rsidP="001E1A20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>Medical Officer of Health                                                        Immunisation Coordinator</w:t>
      </w:r>
    </w:p>
    <w:p w:rsidR="005A7DB5" w:rsidRDefault="005A7DB5" w:rsidP="005A7DB5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>HBDHB</w:t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proofErr w:type="spellStart"/>
      <w:r>
        <w:rPr>
          <w:rFonts w:ascii="Calibri" w:eastAsiaTheme="minorHAnsi" w:hAnsi="Calibri" w:cs="Times New Roman"/>
          <w:color w:val="auto"/>
          <w:sz w:val="22"/>
          <w:szCs w:val="22"/>
        </w:rPr>
        <w:t>HBDHB</w:t>
      </w:r>
      <w:proofErr w:type="spellEnd"/>
    </w:p>
    <w:p w:rsidR="005A653E" w:rsidRDefault="005A7DB5" w:rsidP="005A7DB5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  <w:r>
        <w:rPr>
          <w:rFonts w:ascii="Calibri" w:eastAsiaTheme="minorHAnsi" w:hAnsi="Calibri" w:cs="Times New Roman"/>
          <w:color w:val="auto"/>
          <w:sz w:val="22"/>
          <w:szCs w:val="22"/>
        </w:rPr>
        <w:tab/>
      </w:r>
    </w:p>
    <w:p w:rsidR="00280656" w:rsidRDefault="00280656" w:rsidP="005A7DB5">
      <w:pPr>
        <w:pStyle w:val="Default"/>
        <w:rPr>
          <w:rFonts w:ascii="Calibri" w:eastAsiaTheme="minorHAnsi" w:hAnsi="Calibri" w:cs="Times New Roman"/>
          <w:color w:val="auto"/>
          <w:sz w:val="22"/>
          <w:szCs w:val="22"/>
        </w:rPr>
      </w:pPr>
    </w:p>
    <w:sectPr w:rsidR="00280656" w:rsidSect="00394D12">
      <w:type w:val="continuous"/>
      <w:pgSz w:w="11907" w:h="16840" w:code="9"/>
      <w:pgMar w:top="22" w:right="1440" w:bottom="142" w:left="144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A" w:rsidRDefault="00D302DA">
      <w:r>
        <w:separator/>
      </w:r>
    </w:p>
  </w:endnote>
  <w:endnote w:type="continuationSeparator" w:id="0">
    <w:p w:rsidR="00D302DA" w:rsidRDefault="00D3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5" w:rsidRPr="005A7DB5" w:rsidRDefault="00A32835" w:rsidP="00A32835">
    <w:pPr>
      <w:pStyle w:val="Default"/>
      <w:rPr>
        <w:rFonts w:ascii="Calibri" w:eastAsiaTheme="minorHAnsi" w:hAnsi="Calibri" w:cs="Times New Roman"/>
        <w:color w:val="auto"/>
        <w:sz w:val="22"/>
        <w:szCs w:val="22"/>
      </w:rPr>
    </w:pPr>
  </w:p>
  <w:p w:rsidR="00A32835" w:rsidRPr="00A32835" w:rsidRDefault="00A32835" w:rsidP="00A32835">
    <w:pPr>
      <w:pStyle w:val="Heading2"/>
      <w:pBdr>
        <w:top w:val="single" w:sz="4" w:space="1" w:color="auto"/>
      </w:pBdr>
      <w:tabs>
        <w:tab w:val="left" w:pos="1560"/>
      </w:tabs>
      <w:jc w:val="center"/>
      <w:rPr>
        <w:rFonts w:asciiTheme="minorHAnsi" w:hAnsiTheme="minorHAnsi"/>
        <w:b/>
        <w:i w:val="0"/>
        <w:iCs w:val="0"/>
        <w:sz w:val="28"/>
        <w:szCs w:val="28"/>
      </w:rPr>
    </w:pPr>
    <w:r w:rsidRPr="00A32835">
      <w:rPr>
        <w:rFonts w:asciiTheme="minorHAnsi" w:hAnsiTheme="minorHAnsi"/>
        <w:b/>
        <w:i w:val="0"/>
        <w:iCs w:val="0"/>
        <w:sz w:val="28"/>
        <w:szCs w:val="28"/>
      </w:rPr>
      <w:t>Population Health</w:t>
    </w:r>
  </w:p>
  <w:p w:rsidR="00A32835" w:rsidRPr="00A32835" w:rsidRDefault="00A32835" w:rsidP="00A32835">
    <w:pPr>
      <w:pStyle w:val="Heading2"/>
      <w:pBdr>
        <w:top w:val="single" w:sz="4" w:space="1" w:color="auto"/>
      </w:pBdr>
      <w:tabs>
        <w:tab w:val="left" w:pos="1560"/>
      </w:tabs>
      <w:jc w:val="center"/>
      <w:rPr>
        <w:rFonts w:asciiTheme="minorHAnsi" w:hAnsiTheme="minorHAnsi"/>
        <w:i w:val="0"/>
        <w:iCs w:val="0"/>
        <w:sz w:val="22"/>
        <w:szCs w:val="22"/>
      </w:rPr>
    </w:pPr>
    <w:r w:rsidRPr="00A32835">
      <w:rPr>
        <w:rFonts w:asciiTheme="minorHAnsi" w:hAnsiTheme="minorHAnsi"/>
        <w:i w:val="0"/>
        <w:iCs w:val="0"/>
        <w:sz w:val="22"/>
        <w:szCs w:val="22"/>
      </w:rPr>
      <w:t>Napier Health Centre, 76 Wellesley Road, PO Box 447, Napier</w:t>
    </w:r>
  </w:p>
  <w:p w:rsidR="00A32835" w:rsidRPr="00A32835" w:rsidRDefault="00A32835" w:rsidP="00A32835">
    <w:pPr>
      <w:pStyle w:val="Heading2"/>
      <w:pBdr>
        <w:top w:val="single" w:sz="4" w:space="1" w:color="auto"/>
      </w:pBdr>
      <w:tabs>
        <w:tab w:val="left" w:pos="1560"/>
      </w:tabs>
      <w:jc w:val="center"/>
      <w:rPr>
        <w:rFonts w:asciiTheme="minorHAnsi" w:hAnsiTheme="minorHAnsi"/>
        <w:i w:val="0"/>
        <w:iCs w:val="0"/>
        <w:sz w:val="22"/>
        <w:szCs w:val="22"/>
      </w:rPr>
    </w:pPr>
    <w:r w:rsidRPr="00A32835">
      <w:rPr>
        <w:rFonts w:asciiTheme="minorHAnsi" w:hAnsiTheme="minorHAnsi"/>
        <w:i w:val="0"/>
        <w:iCs w:val="0"/>
        <w:sz w:val="22"/>
        <w:szCs w:val="22"/>
      </w:rPr>
      <w:t xml:space="preserve">Telephone 06 834 </w:t>
    </w:r>
    <w:proofErr w:type="gramStart"/>
    <w:r w:rsidRPr="00A32835">
      <w:rPr>
        <w:rFonts w:asciiTheme="minorHAnsi" w:hAnsiTheme="minorHAnsi"/>
        <w:i w:val="0"/>
        <w:iCs w:val="0"/>
        <w:sz w:val="22"/>
        <w:szCs w:val="22"/>
      </w:rPr>
      <w:t>1815  Fax</w:t>
    </w:r>
    <w:proofErr w:type="gramEnd"/>
    <w:r w:rsidRPr="00A32835">
      <w:rPr>
        <w:rFonts w:asciiTheme="minorHAnsi" w:hAnsiTheme="minorHAnsi"/>
        <w:i w:val="0"/>
        <w:iCs w:val="0"/>
        <w:sz w:val="22"/>
        <w:szCs w:val="22"/>
      </w:rPr>
      <w:t xml:space="preserve"> 06 834 1816</w:t>
    </w:r>
  </w:p>
  <w:p w:rsidR="00A32835" w:rsidRPr="00A32835" w:rsidRDefault="00A32835" w:rsidP="00A32835">
    <w:pPr>
      <w:pStyle w:val="Heading2"/>
      <w:pBdr>
        <w:top w:val="single" w:sz="4" w:space="1" w:color="auto"/>
      </w:pBdr>
      <w:tabs>
        <w:tab w:val="left" w:pos="1560"/>
      </w:tabs>
      <w:jc w:val="center"/>
      <w:rPr>
        <w:rFonts w:asciiTheme="minorHAnsi" w:hAnsiTheme="minorHAnsi"/>
        <w:i w:val="0"/>
        <w:iCs w:val="0"/>
        <w:sz w:val="22"/>
        <w:szCs w:val="22"/>
      </w:rPr>
    </w:pPr>
    <w:r w:rsidRPr="00A32835">
      <w:rPr>
        <w:rFonts w:asciiTheme="minorHAnsi" w:hAnsiTheme="minorHAnsi"/>
        <w:i w:val="0"/>
        <w:sz w:val="22"/>
        <w:szCs w:val="22"/>
        <w:lang w:val="en-US"/>
      </w:rPr>
      <w:t>Email:</w:t>
    </w:r>
    <w:r w:rsidRPr="00A32835">
      <w:rPr>
        <w:rFonts w:asciiTheme="minorHAnsi" w:hAnsiTheme="minorHAnsi"/>
        <w:sz w:val="16"/>
        <w:lang w:val="en-US"/>
      </w:rPr>
      <w:t xml:space="preserve"> </w:t>
    </w:r>
    <w:hyperlink r:id="rId1" w:history="1">
      <w:r w:rsidRPr="00A32835">
        <w:rPr>
          <w:rStyle w:val="Hyperlink"/>
          <w:rFonts w:asciiTheme="minorHAnsi" w:hAnsiTheme="minorHAnsi"/>
          <w:sz w:val="16"/>
          <w:lang w:val="en-US"/>
        </w:rPr>
        <w:t>fiona.jackson@hawkesbaydhb.govt.nz</w:t>
      </w:r>
    </w:hyperlink>
    <w:r w:rsidRPr="00A32835">
      <w:rPr>
        <w:rFonts w:asciiTheme="minorHAnsi" w:hAnsiTheme="minorHAnsi"/>
        <w:sz w:val="16"/>
        <w:lang w:val="en-US"/>
      </w:rPr>
      <w:t xml:space="preserve">  </w:t>
    </w:r>
    <w:r w:rsidRPr="00A32835">
      <w:rPr>
        <w:rFonts w:asciiTheme="minorHAnsi" w:hAnsiTheme="minorHAnsi"/>
        <w:i w:val="0"/>
        <w:iCs w:val="0"/>
        <w:sz w:val="22"/>
        <w:szCs w:val="22"/>
      </w:rPr>
      <w:t>Website:</w:t>
    </w:r>
    <w:r w:rsidRPr="00A32835">
      <w:rPr>
        <w:rFonts w:asciiTheme="minorHAnsi" w:hAnsiTheme="minorHAnsi"/>
        <w:i w:val="0"/>
        <w:iCs w:val="0"/>
        <w:sz w:val="16"/>
        <w:lang w:val="en-US"/>
      </w:rPr>
      <w:t xml:space="preserve"> </w:t>
    </w:r>
    <w:hyperlink r:id="rId2" w:history="1">
      <w:r w:rsidRPr="00A32835">
        <w:rPr>
          <w:rFonts w:asciiTheme="minorHAnsi" w:hAnsiTheme="minorHAnsi"/>
          <w:i w:val="0"/>
          <w:iCs w:val="0"/>
          <w:color w:val="2F5496"/>
          <w:sz w:val="16"/>
          <w:u w:val="single"/>
          <w:lang w:val="en-US"/>
        </w:rPr>
        <w:t>www.hawkesbaydhb.govt.nz</w:t>
      </w:r>
    </w:hyperlink>
  </w:p>
  <w:p w:rsidR="005A653E" w:rsidRDefault="00FD570D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A62461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A" w:rsidRDefault="00D302DA">
      <w:r>
        <w:separator/>
      </w:r>
    </w:p>
  </w:footnote>
  <w:footnote w:type="continuationSeparator" w:id="0">
    <w:p w:rsidR="00D302DA" w:rsidRDefault="00D3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D8" w:rsidRDefault="00676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D8" w:rsidRDefault="00676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EC" w:rsidRDefault="00F357EC" w:rsidP="00F357EC">
    <w:pPr>
      <w:pStyle w:val="Header"/>
      <w:jc w:val="center"/>
    </w:pPr>
    <w:r>
      <w:rPr>
        <w:noProof/>
        <w:position w:val="13"/>
        <w:sz w:val="20"/>
      </w:rPr>
      <w:drawing>
        <wp:inline distT="0" distB="0" distL="0" distR="0" wp14:anchorId="13D9C8AD" wp14:editId="24F44A20">
          <wp:extent cx="1409700" cy="881069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5067" cy="89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5600CC"/>
    <w:multiLevelType w:val="hybridMultilevel"/>
    <w:tmpl w:val="3A6596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D70119"/>
    <w:multiLevelType w:val="hybridMultilevel"/>
    <w:tmpl w:val="766B5A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9C60FD"/>
    <w:multiLevelType w:val="hybridMultilevel"/>
    <w:tmpl w:val="1BC60114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582F"/>
    <w:multiLevelType w:val="multilevel"/>
    <w:tmpl w:val="89B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3"/>
    <w:rsid w:val="000A6033"/>
    <w:rsid w:val="000F433F"/>
    <w:rsid w:val="000F6502"/>
    <w:rsid w:val="001E1A20"/>
    <w:rsid w:val="00251F4B"/>
    <w:rsid w:val="00280656"/>
    <w:rsid w:val="00352F44"/>
    <w:rsid w:val="0038679B"/>
    <w:rsid w:val="00394D12"/>
    <w:rsid w:val="003C49C5"/>
    <w:rsid w:val="004B0AE1"/>
    <w:rsid w:val="0054526B"/>
    <w:rsid w:val="005A653E"/>
    <w:rsid w:val="005A7DB5"/>
    <w:rsid w:val="005F4419"/>
    <w:rsid w:val="0060112D"/>
    <w:rsid w:val="006760D8"/>
    <w:rsid w:val="006C5C52"/>
    <w:rsid w:val="00765840"/>
    <w:rsid w:val="00795807"/>
    <w:rsid w:val="008A29F2"/>
    <w:rsid w:val="008A3D2C"/>
    <w:rsid w:val="008D06BF"/>
    <w:rsid w:val="009108EA"/>
    <w:rsid w:val="009A30B9"/>
    <w:rsid w:val="009B0E8B"/>
    <w:rsid w:val="009E1D1C"/>
    <w:rsid w:val="00A32835"/>
    <w:rsid w:val="00A62461"/>
    <w:rsid w:val="00A63ED2"/>
    <w:rsid w:val="00A7187C"/>
    <w:rsid w:val="00AA575F"/>
    <w:rsid w:val="00AD130B"/>
    <w:rsid w:val="00B31FEF"/>
    <w:rsid w:val="00B450D4"/>
    <w:rsid w:val="00B766DF"/>
    <w:rsid w:val="00B925DD"/>
    <w:rsid w:val="00C94CE5"/>
    <w:rsid w:val="00CD06F6"/>
    <w:rsid w:val="00CE788C"/>
    <w:rsid w:val="00D302DA"/>
    <w:rsid w:val="00D428D1"/>
    <w:rsid w:val="00E33223"/>
    <w:rsid w:val="00E4358C"/>
    <w:rsid w:val="00E55C20"/>
    <w:rsid w:val="00EC031D"/>
    <w:rsid w:val="00F357EC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B677B-1092-48AA-85AE-4F7EB69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23"/>
    <w:rPr>
      <w:rFonts w:eastAsia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DB5"/>
    <w:pPr>
      <w:keepNext/>
      <w:outlineLvl w:val="1"/>
    </w:pPr>
    <w:rPr>
      <w:rFonts w:ascii="Arial" w:eastAsia="Times New Roman" w:hAnsi="Arial" w:cs="Arial"/>
      <w:i/>
      <w:i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32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223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E33223"/>
    <w:rPr>
      <w:vertAlign w:val="superscript"/>
    </w:rPr>
  </w:style>
  <w:style w:type="table" w:styleId="TableGrid">
    <w:name w:val="Table Grid"/>
    <w:basedOn w:val="TableNormal"/>
    <w:uiPriority w:val="39"/>
    <w:rsid w:val="00E3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1FEF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9F2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8A29F2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29F2"/>
    <w:rPr>
      <w:rFonts w:cs="Lato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8A29F2"/>
    <w:rPr>
      <w:rFonts w:cs="Lato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1E1A20"/>
    <w:pPr>
      <w:spacing w:line="19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5A7DB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A7DB5"/>
    <w:rPr>
      <w:rFonts w:ascii="Arial" w:hAnsi="Arial" w:cs="Arial"/>
      <w:i/>
      <w:iCs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4D12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D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nc.cdc.gov/travel/notices/watch/measles-glob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kesbaydhb.govt.nz" TargetMode="External"/><Relationship Id="rId1" Type="http://schemas.openxmlformats.org/officeDocument/2006/relationships/hyperlink" Target="mailto:fiona.jackson@hawkesbaydhb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C7E1019A</Template>
  <TotalTime>128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Fiona Jackson</dc:creator>
  <cp:keywords/>
  <dc:description/>
  <cp:lastModifiedBy>Fiona Jackson</cp:lastModifiedBy>
  <cp:revision>7</cp:revision>
  <dcterms:created xsi:type="dcterms:W3CDTF">2019-11-27T03:05:00Z</dcterms:created>
  <dcterms:modified xsi:type="dcterms:W3CDTF">2019-12-04T02:47:00Z</dcterms:modified>
</cp:coreProperties>
</file>