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Look w:val="01E0" w:firstRow="1" w:lastRow="1" w:firstColumn="1" w:lastColumn="1" w:noHBand="0" w:noVBand="0"/>
      </w:tblPr>
      <w:tblGrid>
        <w:gridCol w:w="2268"/>
        <w:gridCol w:w="1652"/>
        <w:gridCol w:w="5971"/>
      </w:tblGrid>
      <w:tr w:rsidR="00E57109" w:rsidRPr="00E57109" w:rsidTr="00481822">
        <w:trPr>
          <w:trHeight w:val="1794"/>
        </w:trPr>
        <w:tc>
          <w:tcPr>
            <w:tcW w:w="3920" w:type="dxa"/>
            <w:gridSpan w:val="2"/>
          </w:tcPr>
          <w:p w:rsidR="008C2E47" w:rsidRPr="00E57109" w:rsidRDefault="008C2E47" w:rsidP="0038724D">
            <w:pPr>
              <w:pStyle w:val="Header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8C2E47" w:rsidRPr="00E57109" w:rsidRDefault="009E1AB3" w:rsidP="0038724D">
            <w:pPr>
              <w:jc w:val="center"/>
            </w:pPr>
            <w:r w:rsidRPr="00E57109">
              <w:rPr>
                <w:noProof/>
                <w:lang w:eastAsia="en-NZ"/>
              </w:rPr>
              <w:drawing>
                <wp:inline distT="0" distB="0" distL="0" distR="0" wp14:anchorId="440AC556" wp14:editId="6C4143BD">
                  <wp:extent cx="1892300" cy="16802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1" w:type="dxa"/>
            <w:vAlign w:val="center"/>
          </w:tcPr>
          <w:p w:rsidR="008C2E47" w:rsidRPr="00E57109" w:rsidRDefault="008C2E47" w:rsidP="00D46DCE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  <w:p w:rsidR="008C2E47" w:rsidRPr="00E57109" w:rsidRDefault="0063613A" w:rsidP="00D46DCE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E57109">
              <w:rPr>
                <w:rFonts w:ascii="Arial" w:hAnsi="Arial" w:cs="Arial"/>
                <w:b/>
                <w:caps/>
                <w:szCs w:val="22"/>
              </w:rPr>
              <w:br/>
            </w:r>
            <w:r w:rsidR="008C2E47" w:rsidRPr="00E57109">
              <w:rPr>
                <w:rFonts w:ascii="Arial" w:hAnsi="Arial" w:cs="Arial"/>
                <w:b/>
                <w:caps/>
                <w:szCs w:val="22"/>
              </w:rPr>
              <w:t>Terms of Reference</w:t>
            </w:r>
          </w:p>
          <w:p w:rsidR="008C2E47" w:rsidRPr="00E57109" w:rsidRDefault="008C2E47" w:rsidP="00D46D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8C2E47" w:rsidRPr="00E57109" w:rsidRDefault="008C2E47" w:rsidP="00D46DC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57109">
              <w:rPr>
                <w:rFonts w:ascii="Arial" w:hAnsi="Arial" w:cs="Arial"/>
                <w:b/>
                <w:szCs w:val="22"/>
              </w:rPr>
              <w:t>Hawke’s Bay Clinical Council</w:t>
            </w:r>
          </w:p>
          <w:p w:rsidR="008C2E47" w:rsidRPr="00E57109" w:rsidRDefault="008C2E47" w:rsidP="00D46D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8C2E47" w:rsidRPr="00E57109" w:rsidRDefault="008C2E47" w:rsidP="00D46DC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57109">
              <w:rPr>
                <w:rFonts w:ascii="Arial" w:hAnsi="Arial" w:cs="Arial"/>
                <w:b/>
                <w:szCs w:val="22"/>
              </w:rPr>
              <w:t xml:space="preserve">September </w:t>
            </w:r>
            <w:r w:rsidR="00641A70" w:rsidRPr="00E57109">
              <w:rPr>
                <w:rFonts w:ascii="Arial" w:hAnsi="Arial" w:cs="Arial"/>
                <w:b/>
                <w:szCs w:val="22"/>
              </w:rPr>
              <w:t>2015</w:t>
            </w:r>
          </w:p>
          <w:p w:rsidR="008C2E47" w:rsidRPr="00E57109" w:rsidRDefault="008C2E47" w:rsidP="00D46DCE">
            <w:pPr>
              <w:pStyle w:val="Header"/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  <w:p w:rsidR="00257C8A" w:rsidRPr="00E57109" w:rsidRDefault="00257C8A" w:rsidP="00D46DCE">
            <w:pPr>
              <w:pStyle w:val="Header"/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</w:tr>
      <w:tr w:rsidR="00E57109" w:rsidRPr="00E57109" w:rsidTr="00C143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8" w:type="dxa"/>
          </w:tcPr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109"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</w:tc>
        <w:tc>
          <w:tcPr>
            <w:tcW w:w="7623" w:type="dxa"/>
            <w:gridSpan w:val="2"/>
          </w:tcPr>
          <w:p w:rsidR="00852B43" w:rsidRPr="00E57109" w:rsidRDefault="00852B43" w:rsidP="00852B43">
            <w:pPr>
              <w:pStyle w:val="BodyText"/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52B43" w:rsidRPr="00E57109" w:rsidRDefault="00641A70" w:rsidP="00257C8A">
            <w:pPr>
              <w:pStyle w:val="BodyText"/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 xml:space="preserve">The Hawke’s Bay Clinical Council is the principal clinical governance, leadership and advisory group for the Hawke’s Bay health </w:t>
            </w:r>
            <w:r w:rsidR="0018734D" w:rsidRPr="00E57109">
              <w:rPr>
                <w:rFonts w:ascii="Arial" w:hAnsi="Arial" w:cs="Arial"/>
                <w:sz w:val="22"/>
                <w:szCs w:val="22"/>
              </w:rPr>
              <w:t>system</w:t>
            </w:r>
            <w:r w:rsidRPr="00E571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41A70" w:rsidRPr="00E57109" w:rsidRDefault="00641A70" w:rsidP="00257C8A">
            <w:pPr>
              <w:pStyle w:val="BodyText"/>
              <w:tabs>
                <w:tab w:val="left" w:pos="126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57109" w:rsidRPr="00E57109" w:rsidTr="00C143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8" w:type="dxa"/>
          </w:tcPr>
          <w:p w:rsidR="00852B43" w:rsidRPr="00E57109" w:rsidRDefault="00852B43" w:rsidP="00852B43">
            <w:pPr>
              <w:pStyle w:val="HTMLPreformatted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</w:p>
          <w:p w:rsidR="00852B43" w:rsidRPr="00E57109" w:rsidRDefault="00852B43" w:rsidP="00852B43">
            <w:pPr>
              <w:pStyle w:val="HTMLPreformatted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E57109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Functions</w:t>
            </w:r>
          </w:p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23" w:type="dxa"/>
            <w:gridSpan w:val="2"/>
          </w:tcPr>
          <w:p w:rsidR="00852B43" w:rsidRPr="00E57109" w:rsidRDefault="00852B43" w:rsidP="00852B4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6"/>
              </w:tabs>
              <w:ind w:left="786" w:hanging="786"/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:rsidR="00641A70" w:rsidRPr="00E57109" w:rsidRDefault="00641A70" w:rsidP="00641A70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6"/>
              </w:tabs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57109">
              <w:rPr>
                <w:rFonts w:ascii="Arial" w:hAnsi="Arial" w:cs="Arial"/>
                <w:sz w:val="22"/>
                <w:szCs w:val="22"/>
                <w:lang w:val="en-NZ"/>
              </w:rPr>
              <w:t>The Hawke’s Bay Clinical Council (Council)</w:t>
            </w:r>
          </w:p>
          <w:p w:rsidR="00641A70" w:rsidRPr="00E57109" w:rsidRDefault="00641A70" w:rsidP="00257C8A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6"/>
              </w:tabs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57109">
              <w:rPr>
                <w:rFonts w:ascii="Arial" w:hAnsi="Arial" w:cs="Arial"/>
                <w:sz w:val="22"/>
                <w:szCs w:val="22"/>
                <w:lang w:val="en-NZ"/>
              </w:rPr>
              <w:t xml:space="preserve">Provides clinical advice and assurance to the Hawke’s Bay health system </w:t>
            </w:r>
            <w:r w:rsidR="0018734D" w:rsidRPr="00E57109">
              <w:rPr>
                <w:rFonts w:ascii="Arial" w:hAnsi="Arial" w:cs="Arial"/>
                <w:sz w:val="22"/>
                <w:szCs w:val="22"/>
                <w:lang w:val="en-NZ"/>
              </w:rPr>
              <w:t xml:space="preserve">management and </w:t>
            </w:r>
            <w:r w:rsidRPr="00E57109">
              <w:rPr>
                <w:rFonts w:ascii="Arial" w:hAnsi="Arial" w:cs="Arial"/>
                <w:sz w:val="22"/>
                <w:szCs w:val="22"/>
                <w:lang w:val="en-NZ"/>
              </w:rPr>
              <w:t>governance structures.</w:t>
            </w:r>
          </w:p>
          <w:p w:rsidR="00641A70" w:rsidRPr="00E57109" w:rsidRDefault="00641A70" w:rsidP="00257C8A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6"/>
              </w:tabs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57109">
              <w:rPr>
                <w:rFonts w:ascii="Arial" w:hAnsi="Arial" w:cs="Arial"/>
                <w:sz w:val="22"/>
                <w:szCs w:val="22"/>
                <w:lang w:val="en-NZ"/>
              </w:rPr>
              <w:t>Works in partnership with the Hawke’s Bay Health Consumer Council to ensure Hawke’s Bay health services are organised around the needs of people.</w:t>
            </w:r>
          </w:p>
          <w:p w:rsidR="00641A70" w:rsidRPr="00E57109" w:rsidRDefault="00641A70" w:rsidP="00257C8A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6"/>
              </w:tabs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57109">
              <w:rPr>
                <w:rFonts w:ascii="Arial" w:hAnsi="Arial" w:cs="Arial"/>
                <w:sz w:val="22"/>
                <w:szCs w:val="22"/>
                <w:lang w:val="en-NZ"/>
              </w:rPr>
              <w:t>Provides oversight of clinical quality and patient safety.</w:t>
            </w:r>
          </w:p>
          <w:p w:rsidR="00641A70" w:rsidRPr="00E57109" w:rsidRDefault="00641A70" w:rsidP="00257C8A">
            <w:pPr>
              <w:pStyle w:val="HTMLPreformatted"/>
              <w:numPr>
                <w:ilvl w:val="0"/>
                <w:numId w:val="8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6"/>
              </w:tabs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57109">
              <w:rPr>
                <w:rFonts w:ascii="Arial" w:hAnsi="Arial" w:cs="Arial"/>
                <w:sz w:val="22"/>
                <w:szCs w:val="22"/>
                <w:lang w:val="en-NZ"/>
              </w:rPr>
              <w:t xml:space="preserve">Provides clinical leadership to the Hawke’s Bay health </w:t>
            </w:r>
            <w:r w:rsidR="0018734D" w:rsidRPr="00E57109">
              <w:rPr>
                <w:rFonts w:ascii="Arial" w:hAnsi="Arial" w:cs="Arial"/>
                <w:sz w:val="22"/>
                <w:szCs w:val="22"/>
                <w:lang w:val="en-NZ"/>
              </w:rPr>
              <w:t>system</w:t>
            </w:r>
            <w:r w:rsidRPr="00E57109">
              <w:rPr>
                <w:rFonts w:ascii="Arial" w:hAnsi="Arial" w:cs="Arial"/>
                <w:sz w:val="22"/>
                <w:szCs w:val="22"/>
                <w:lang w:val="en-NZ"/>
              </w:rPr>
              <w:t xml:space="preserve"> workforce.</w:t>
            </w:r>
          </w:p>
          <w:p w:rsidR="00852B43" w:rsidRPr="00E57109" w:rsidRDefault="00852B43" w:rsidP="00852B4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6"/>
              </w:tabs>
              <w:jc w:val="both"/>
              <w:rPr>
                <w:rFonts w:ascii="Arial" w:hAnsi="Arial" w:cs="Arial"/>
                <w:sz w:val="16"/>
                <w:szCs w:val="22"/>
                <w:lang w:val="en-NZ"/>
              </w:rPr>
            </w:pPr>
          </w:p>
        </w:tc>
      </w:tr>
      <w:tr w:rsidR="00E57109" w:rsidRPr="00E57109" w:rsidTr="00C143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8" w:type="dxa"/>
          </w:tcPr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109">
              <w:rPr>
                <w:rFonts w:ascii="Arial" w:hAnsi="Arial" w:cs="Arial"/>
                <w:b/>
                <w:sz w:val="22"/>
                <w:szCs w:val="22"/>
              </w:rPr>
              <w:t>Level of Authority</w:t>
            </w:r>
          </w:p>
        </w:tc>
        <w:tc>
          <w:tcPr>
            <w:tcW w:w="7623" w:type="dxa"/>
            <w:gridSpan w:val="2"/>
          </w:tcPr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51A46" w:rsidRPr="00E57109">
              <w:rPr>
                <w:rFonts w:ascii="Arial" w:hAnsi="Arial" w:cs="Arial"/>
                <w:sz w:val="22"/>
                <w:szCs w:val="22"/>
              </w:rPr>
              <w:t>Council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 has the authority to </w:t>
            </w:r>
            <w:r w:rsidR="00E01E3C" w:rsidRPr="00E57109">
              <w:rPr>
                <w:rFonts w:ascii="Arial" w:hAnsi="Arial" w:cs="Arial"/>
                <w:sz w:val="22"/>
                <w:szCs w:val="22"/>
              </w:rPr>
              <w:t xml:space="preserve">make decisions and/or provide </w:t>
            </w:r>
            <w:r w:rsidRPr="00E57109">
              <w:rPr>
                <w:rFonts w:ascii="Arial" w:hAnsi="Arial" w:cs="Arial"/>
                <w:sz w:val="22"/>
                <w:szCs w:val="22"/>
              </w:rPr>
              <w:t>advice and recommendations, to</w:t>
            </w:r>
            <w:r w:rsidR="00E01E3C" w:rsidRPr="00E57109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E3C" w:rsidRPr="00E57109">
              <w:rPr>
                <w:rFonts w:ascii="Arial" w:hAnsi="Arial" w:cs="Arial"/>
                <w:sz w:val="22"/>
                <w:szCs w:val="22"/>
              </w:rPr>
              <w:t>Boards of HBDHB and Health Hawke’s Bay Limited (as appropriate)</w:t>
            </w:r>
            <w:r w:rsidRPr="00E571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2B43" w:rsidRPr="00E57109" w:rsidRDefault="00852B43" w:rsidP="00852B43">
            <w:pPr>
              <w:rPr>
                <w:rFonts w:ascii="Arial" w:hAnsi="Arial" w:cs="Arial"/>
                <w:sz w:val="16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To assist it in this function the Council may</w:t>
            </w:r>
            <w:r w:rsidR="001C429E" w:rsidRPr="00E571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52B43" w:rsidRPr="00E57109" w:rsidRDefault="00852B43" w:rsidP="00852B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Request reports and presentations from particular groups</w:t>
            </w:r>
          </w:p>
          <w:p w:rsidR="00852B43" w:rsidRPr="00E57109" w:rsidRDefault="00852B43" w:rsidP="00852B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Establish sub-groups to investigate and report back on particular matters</w:t>
            </w:r>
          </w:p>
          <w:p w:rsidR="00852B43" w:rsidRPr="00E57109" w:rsidRDefault="00852B43" w:rsidP="00852B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Commission audits or investigations on particular issues</w:t>
            </w:r>
          </w:p>
          <w:p w:rsidR="00852B43" w:rsidRPr="00E57109" w:rsidRDefault="00852B43" w:rsidP="00852B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Co-opt people from time to time as required for a specific purpose</w:t>
            </w:r>
            <w:r w:rsidR="00257C8A" w:rsidRPr="00E571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The Council’s role is one of governance, not operational or line management.</w:t>
            </w:r>
          </w:p>
          <w:p w:rsidR="001C429E" w:rsidRPr="00E57109" w:rsidRDefault="001C429E" w:rsidP="00852B43">
            <w:pPr>
              <w:rPr>
                <w:rFonts w:ascii="Arial" w:hAnsi="Arial" w:cs="Arial"/>
                <w:sz w:val="12"/>
                <w:szCs w:val="22"/>
              </w:rPr>
            </w:pPr>
          </w:p>
          <w:p w:rsidR="001C429E" w:rsidRPr="00E57109" w:rsidRDefault="001C429E" w:rsidP="00C51A4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57109">
              <w:rPr>
                <w:rFonts w:ascii="Arial" w:hAnsi="Arial" w:cs="Arial"/>
                <w:b/>
                <w:sz w:val="22"/>
                <w:szCs w:val="22"/>
              </w:rPr>
              <w:t>Delegated Authority</w:t>
            </w:r>
          </w:p>
          <w:p w:rsidR="001C429E" w:rsidRPr="00E57109" w:rsidRDefault="00C51A46" w:rsidP="001C42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 xml:space="preserve">The Council has delegated authority from the </w:t>
            </w:r>
            <w:r w:rsidR="0018734D" w:rsidRPr="00E57109">
              <w:rPr>
                <w:rFonts w:ascii="Arial" w:hAnsi="Arial" w:cs="Arial"/>
                <w:sz w:val="22"/>
                <w:szCs w:val="22"/>
              </w:rPr>
              <w:t xml:space="preserve">CEOs and </w:t>
            </w:r>
            <w:r w:rsidRPr="00E57109">
              <w:rPr>
                <w:rFonts w:ascii="Arial" w:hAnsi="Arial" w:cs="Arial"/>
                <w:sz w:val="22"/>
                <w:szCs w:val="22"/>
              </w:rPr>
              <w:t>Board</w:t>
            </w:r>
            <w:r w:rsidR="004E3E31" w:rsidRPr="00E57109">
              <w:rPr>
                <w:rFonts w:ascii="Arial" w:hAnsi="Arial" w:cs="Arial"/>
                <w:sz w:val="22"/>
                <w:szCs w:val="22"/>
              </w:rPr>
              <w:t>s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1C429E" w:rsidRPr="00E571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01E3C" w:rsidRPr="00E57109" w:rsidRDefault="00E01E3C" w:rsidP="00C51A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Make decisions within the mandate and scope set out in the Hawke’s Bay Health Alliance – Alliance Agreement</w:t>
            </w:r>
          </w:p>
          <w:p w:rsidR="001C429E" w:rsidRPr="00E57109" w:rsidRDefault="001C429E" w:rsidP="00C51A4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Make decisions and  issue directives on quality clinical practice and patient safety issues that:</w:t>
            </w:r>
          </w:p>
          <w:p w:rsidR="001C429E" w:rsidRPr="00E57109" w:rsidRDefault="001C429E" w:rsidP="00C51A46">
            <w:pPr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Relate directly to the function and aims of the Council as set out in the Terms of Reference; and</w:t>
            </w:r>
          </w:p>
          <w:p w:rsidR="001C429E" w:rsidRPr="00E57109" w:rsidRDefault="001C429E" w:rsidP="00C51A46">
            <w:pPr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Relate directly to the provision of, or access to, HBDHB publicly funded health services; and</w:t>
            </w:r>
          </w:p>
          <w:p w:rsidR="001C429E" w:rsidRPr="00E57109" w:rsidRDefault="001C429E" w:rsidP="00C51A46">
            <w:pPr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Are clinically and financially sustainable; and</w:t>
            </w:r>
          </w:p>
          <w:p w:rsidR="001C429E" w:rsidRPr="00E57109" w:rsidRDefault="001C429E" w:rsidP="00C51A46">
            <w:pPr>
              <w:numPr>
                <w:ilvl w:val="0"/>
                <w:numId w:val="7"/>
              </w:numPr>
              <w:tabs>
                <w:tab w:val="clear" w:pos="720"/>
                <w:tab w:val="num" w:pos="1080"/>
              </w:tabs>
              <w:ind w:left="1080"/>
              <w:jc w:val="left"/>
              <w:rPr>
                <w:rFonts w:ascii="Arial" w:hAnsi="Arial" w:cs="Arial"/>
                <w:sz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Are affordable within HBDHB’s current budgets.</w:t>
            </w:r>
          </w:p>
          <w:p w:rsidR="00C51A46" w:rsidRPr="00E57109" w:rsidRDefault="00C51A46" w:rsidP="00C51A46">
            <w:pPr>
              <w:ind w:left="720"/>
              <w:jc w:val="left"/>
              <w:rPr>
                <w:rFonts w:ascii="Arial" w:hAnsi="Arial" w:cs="Arial"/>
                <w:sz w:val="22"/>
              </w:rPr>
            </w:pPr>
          </w:p>
          <w:p w:rsidR="002246E1" w:rsidRPr="00E57109" w:rsidRDefault="001C429E" w:rsidP="00ED4820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All such decisions and/or directives will be binding on all clinicians who provide and/or refer to public health services funded (in whole or part) by the HBDHB.</w:t>
            </w:r>
          </w:p>
          <w:p w:rsidR="00257C8A" w:rsidRPr="00E57109" w:rsidRDefault="00257C8A" w:rsidP="00ED48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109" w:rsidRPr="00E57109" w:rsidTr="00257C8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68" w:type="dxa"/>
          </w:tcPr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109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</w:tc>
        <w:tc>
          <w:tcPr>
            <w:tcW w:w="7623" w:type="dxa"/>
            <w:gridSpan w:val="2"/>
          </w:tcPr>
          <w:p w:rsidR="00852B43" w:rsidRPr="00E57109" w:rsidRDefault="00E01E3C" w:rsidP="00852B4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6"/>
              </w:tabs>
              <w:jc w:val="both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E57109">
              <w:rPr>
                <w:rFonts w:ascii="Arial" w:hAnsi="Arial" w:cs="Arial"/>
                <w:sz w:val="22"/>
                <w:szCs w:val="22"/>
                <w:lang w:val="en-NZ"/>
              </w:rPr>
              <w:t>Members appointed by tenure shall normally be appointed for three years whilst ensuring that approximately one third of such member</w:t>
            </w:r>
            <w:r w:rsidR="004E3E31" w:rsidRPr="00E57109">
              <w:rPr>
                <w:rFonts w:ascii="Arial" w:hAnsi="Arial" w:cs="Arial"/>
                <w:sz w:val="22"/>
                <w:szCs w:val="22"/>
                <w:lang w:val="en-NZ"/>
              </w:rPr>
              <w:t>s</w:t>
            </w:r>
            <w:r w:rsidRPr="00E57109">
              <w:rPr>
                <w:rFonts w:ascii="Arial" w:hAnsi="Arial" w:cs="Arial"/>
                <w:sz w:val="22"/>
                <w:szCs w:val="22"/>
                <w:lang w:val="en-NZ"/>
              </w:rPr>
              <w:t xml:space="preserve"> ‘retire by rotation’ each year.  Such members </w:t>
            </w:r>
            <w:r w:rsidR="00852B43" w:rsidRPr="00E57109">
              <w:rPr>
                <w:rFonts w:ascii="Arial" w:hAnsi="Arial" w:cs="Arial"/>
                <w:sz w:val="22"/>
                <w:szCs w:val="22"/>
                <w:lang w:val="en-NZ"/>
              </w:rPr>
              <w:t>may be reappointed but for no more than three terms</w:t>
            </w:r>
            <w:r w:rsidR="00F05A48" w:rsidRPr="00E57109">
              <w:rPr>
                <w:rFonts w:ascii="Arial" w:hAnsi="Arial" w:cs="Arial"/>
                <w:sz w:val="22"/>
                <w:szCs w:val="22"/>
                <w:lang w:val="en-NZ"/>
              </w:rPr>
              <w:t xml:space="preserve">. </w:t>
            </w:r>
            <w:r w:rsidR="00B64D31" w:rsidRPr="00E57109">
              <w:rPr>
                <w:rFonts w:ascii="Arial" w:hAnsi="Arial" w:cs="Arial"/>
                <w:sz w:val="22"/>
                <w:szCs w:val="22"/>
                <w:lang w:val="en-NZ"/>
              </w:rPr>
              <w:t>Members</w:t>
            </w:r>
            <w:r w:rsidR="00F05A48" w:rsidRPr="00E57109">
              <w:rPr>
                <w:rFonts w:ascii="Arial" w:hAnsi="Arial" w:cs="Arial"/>
                <w:sz w:val="22"/>
                <w:szCs w:val="22"/>
                <w:lang w:val="en-NZ"/>
              </w:rPr>
              <w:t xml:space="preserve"> appointed by role</w:t>
            </w:r>
            <w:r w:rsidR="00A05E66" w:rsidRPr="00E57109">
              <w:rPr>
                <w:rFonts w:ascii="Arial" w:hAnsi="Arial" w:cs="Arial"/>
                <w:sz w:val="22"/>
                <w:szCs w:val="22"/>
                <w:lang w:val="en-NZ"/>
              </w:rPr>
              <w:t>/</w:t>
            </w:r>
            <w:r w:rsidR="00137C8D" w:rsidRPr="00E57109">
              <w:rPr>
                <w:rFonts w:ascii="Arial" w:hAnsi="Arial" w:cs="Arial"/>
                <w:sz w:val="22"/>
                <w:szCs w:val="22"/>
                <w:lang w:val="en-NZ"/>
              </w:rPr>
              <w:t>position</w:t>
            </w:r>
            <w:r w:rsidR="00F05A48" w:rsidRPr="00E57109">
              <w:rPr>
                <w:rFonts w:ascii="Arial" w:hAnsi="Arial" w:cs="Arial"/>
                <w:sz w:val="22"/>
                <w:szCs w:val="22"/>
                <w:lang w:val="en-NZ"/>
              </w:rPr>
              <w:t xml:space="preserve"> do not have a finite term.</w:t>
            </w:r>
          </w:p>
          <w:p w:rsidR="00E727BD" w:rsidRPr="00E57109" w:rsidRDefault="00E727BD" w:rsidP="00852B43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86"/>
              </w:tabs>
              <w:jc w:val="both"/>
              <w:rPr>
                <w:rFonts w:ascii="Arial" w:hAnsi="Arial" w:cs="Arial"/>
                <w:sz w:val="12"/>
                <w:szCs w:val="22"/>
                <w:lang w:val="en-NZ"/>
              </w:rPr>
            </w:pPr>
          </w:p>
          <w:p w:rsidR="00137C8D" w:rsidRPr="00E57109" w:rsidRDefault="00137C8D" w:rsidP="00137C8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57109">
              <w:rPr>
                <w:rFonts w:ascii="Arial" w:hAnsi="Arial" w:cs="Arial"/>
                <w:i/>
                <w:sz w:val="22"/>
                <w:szCs w:val="22"/>
              </w:rPr>
              <w:t xml:space="preserve">By </w:t>
            </w:r>
            <w:r w:rsidR="0096580B" w:rsidRPr="00E57109">
              <w:rPr>
                <w:rFonts w:ascii="Arial" w:hAnsi="Arial" w:cs="Arial"/>
                <w:i/>
                <w:sz w:val="22"/>
                <w:szCs w:val="22"/>
              </w:rPr>
              <w:t>role/</w:t>
            </w:r>
            <w:r w:rsidRPr="00E57109">
              <w:rPr>
                <w:rFonts w:ascii="Arial" w:hAnsi="Arial" w:cs="Arial"/>
                <w:i/>
                <w:sz w:val="22"/>
                <w:szCs w:val="22"/>
              </w:rPr>
              <w:t>position:</w:t>
            </w:r>
          </w:p>
          <w:p w:rsidR="00852B43" w:rsidRPr="00E57109" w:rsidRDefault="00852B43" w:rsidP="00852B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 xml:space="preserve">CMO </w:t>
            </w:r>
            <w:r w:rsidR="009E345F" w:rsidRPr="00E57109">
              <w:rPr>
                <w:rFonts w:ascii="Arial" w:hAnsi="Arial" w:cs="Arial"/>
                <w:sz w:val="22"/>
                <w:szCs w:val="22"/>
              </w:rPr>
              <w:t>P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rimary </w:t>
            </w:r>
            <w:r w:rsidR="009E345F" w:rsidRPr="00E57109">
              <w:rPr>
                <w:rFonts w:ascii="Arial" w:hAnsi="Arial" w:cs="Arial"/>
                <w:sz w:val="22"/>
                <w:szCs w:val="22"/>
              </w:rPr>
              <w:t>H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ealth </w:t>
            </w:r>
            <w:r w:rsidR="00877B36" w:rsidRPr="00E57109">
              <w:rPr>
                <w:rFonts w:ascii="Arial" w:hAnsi="Arial" w:cs="Arial"/>
                <w:sz w:val="22"/>
                <w:szCs w:val="22"/>
              </w:rPr>
              <w:t>Care</w:t>
            </w:r>
          </w:p>
          <w:p w:rsidR="00852B43" w:rsidRPr="00E57109" w:rsidRDefault="00852B43" w:rsidP="00852B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57109">
                  <w:rPr>
                    <w:rFonts w:ascii="Arial" w:hAnsi="Arial" w:cs="Arial"/>
                    <w:sz w:val="22"/>
                    <w:szCs w:val="22"/>
                  </w:rPr>
                  <w:t>CMO</w:t>
                </w:r>
              </w:smartTag>
              <w:r w:rsidRPr="00E57109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="00877B36" w:rsidRPr="00E57109">
                  <w:rPr>
                    <w:rFonts w:ascii="Arial" w:hAnsi="Arial" w:cs="Arial"/>
                    <w:sz w:val="22"/>
                    <w:szCs w:val="22"/>
                  </w:rPr>
                  <w:t>Hospital</w:t>
                </w:r>
              </w:smartTag>
            </w:smartTag>
          </w:p>
          <w:p w:rsidR="00852B43" w:rsidRPr="00E57109" w:rsidRDefault="004E7CCA" w:rsidP="00852B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Chief Nursing Officer</w:t>
            </w:r>
          </w:p>
          <w:p w:rsidR="00146FD7" w:rsidRPr="00E57109" w:rsidRDefault="004E7CCA" w:rsidP="00852B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Midwifery Director</w:t>
            </w:r>
          </w:p>
          <w:p w:rsidR="00137C8D" w:rsidRPr="00E57109" w:rsidRDefault="009E345F" w:rsidP="00852B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Director of Allied Health</w:t>
            </w:r>
          </w:p>
          <w:p w:rsidR="00137C8D" w:rsidRPr="00E57109" w:rsidRDefault="00137C8D" w:rsidP="00852B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Chief Pharmacist</w:t>
            </w:r>
          </w:p>
          <w:p w:rsidR="006E0DE5" w:rsidRPr="00E57109" w:rsidRDefault="00C55622" w:rsidP="00137C8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Director Population Health</w:t>
            </w:r>
            <w:r w:rsidR="006E0DE5" w:rsidRPr="00E571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5622" w:rsidRPr="00E57109" w:rsidRDefault="00C55622" w:rsidP="00137C8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="00E47DE5" w:rsidRPr="00E57109">
              <w:rPr>
                <w:rFonts w:ascii="Arial" w:hAnsi="Arial" w:cs="Arial"/>
                <w:sz w:val="22"/>
                <w:szCs w:val="22"/>
              </w:rPr>
              <w:t>Lead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 PHO Clinical Advisory </w:t>
            </w:r>
            <w:r w:rsidR="00BB641C" w:rsidRPr="00E5710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A7E1F" w:rsidRPr="00E57109">
              <w:rPr>
                <w:rFonts w:ascii="Arial" w:hAnsi="Arial" w:cs="Arial"/>
                <w:sz w:val="22"/>
                <w:szCs w:val="22"/>
              </w:rPr>
              <w:t xml:space="preserve">Governance </w:t>
            </w:r>
            <w:r w:rsidRPr="00E57109">
              <w:rPr>
                <w:rFonts w:ascii="Arial" w:hAnsi="Arial" w:cs="Arial"/>
                <w:sz w:val="22"/>
                <w:szCs w:val="22"/>
              </w:rPr>
              <w:t>Committee</w:t>
            </w:r>
          </w:p>
          <w:p w:rsidR="00E727BD" w:rsidRPr="00E57109" w:rsidRDefault="00E727BD" w:rsidP="00E727BD">
            <w:pPr>
              <w:rPr>
                <w:rFonts w:ascii="Arial" w:hAnsi="Arial" w:cs="Arial"/>
                <w:sz w:val="12"/>
                <w:szCs w:val="22"/>
              </w:rPr>
            </w:pPr>
          </w:p>
          <w:p w:rsidR="00852B43" w:rsidRPr="00E57109" w:rsidRDefault="00137C8D" w:rsidP="00137C8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57109">
              <w:rPr>
                <w:rFonts w:ascii="Arial" w:hAnsi="Arial" w:cs="Arial"/>
                <w:i/>
                <w:sz w:val="22"/>
                <w:szCs w:val="22"/>
              </w:rPr>
              <w:t>By Appointment (tenure):</w:t>
            </w:r>
          </w:p>
          <w:p w:rsidR="009E345F" w:rsidRPr="00E57109" w:rsidRDefault="009E345F" w:rsidP="009E345F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General Practitioner</w:t>
            </w:r>
            <w:r w:rsidR="00852B43" w:rsidRPr="00E57109">
              <w:rPr>
                <w:rFonts w:ascii="Arial" w:hAnsi="Arial" w:cs="Arial"/>
                <w:sz w:val="22"/>
                <w:szCs w:val="22"/>
              </w:rPr>
              <w:t xml:space="preserve"> x </w:t>
            </w:r>
            <w:r w:rsidR="00C55622" w:rsidRPr="00E57109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:rsidR="009E345F" w:rsidRPr="00E57109" w:rsidRDefault="00BB641C" w:rsidP="00852B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Senior Medical / Dental Officer</w:t>
            </w:r>
            <w:r w:rsidR="005A7E1F" w:rsidRPr="00E57109">
              <w:rPr>
                <w:rFonts w:ascii="Arial" w:hAnsi="Arial" w:cs="Arial"/>
                <w:sz w:val="22"/>
                <w:szCs w:val="22"/>
              </w:rPr>
              <w:t xml:space="preserve"> x 2</w:t>
            </w:r>
          </w:p>
          <w:p w:rsidR="00D64F25" w:rsidRPr="00E57109" w:rsidRDefault="00877B36" w:rsidP="00852B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Senior Nurse x 3</w:t>
            </w:r>
          </w:p>
          <w:p w:rsidR="00BB641C" w:rsidRPr="00E57109" w:rsidRDefault="00BB641C" w:rsidP="00852B4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Senior Allied Health Professional</w:t>
            </w:r>
          </w:p>
          <w:p w:rsidR="00852B43" w:rsidRPr="00E57109" w:rsidRDefault="00852B43" w:rsidP="00D64F2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0453A2" w:rsidRPr="00E57109" w:rsidRDefault="000453A2" w:rsidP="00D64F2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57109">
              <w:rPr>
                <w:rFonts w:ascii="Arial" w:eastAsia="Arial Unicode MS" w:hAnsi="Arial" w:cs="Arial"/>
                <w:sz w:val="22"/>
                <w:szCs w:val="22"/>
              </w:rPr>
              <w:t xml:space="preserve">When making appointments, consideration must be given to maintaining a wide range of perspectives and interests within the total membership, ensuring in particular that </w:t>
            </w:r>
            <w:r w:rsidRPr="00E57109">
              <w:rPr>
                <w:rFonts w:ascii="Arial" w:hAnsi="Arial" w:cs="Arial"/>
                <w:sz w:val="22"/>
                <w:szCs w:val="20"/>
              </w:rPr>
              <w:t>Māori</w:t>
            </w:r>
            <w:r w:rsidRPr="00E57109">
              <w:rPr>
                <w:rFonts w:ascii="Arial" w:eastAsia="Arial Unicode MS" w:hAnsi="Arial" w:cs="Arial"/>
                <w:sz w:val="22"/>
                <w:szCs w:val="22"/>
              </w:rPr>
              <w:t xml:space="preserve"> health and rural health interests and </w:t>
            </w:r>
            <w:r w:rsidR="009F5A9A" w:rsidRPr="00E57109">
              <w:rPr>
                <w:rFonts w:ascii="Arial" w:eastAsia="Arial Unicode MS" w:hAnsi="Arial" w:cs="Arial"/>
                <w:sz w:val="22"/>
                <w:szCs w:val="22"/>
              </w:rPr>
              <w:t xml:space="preserve">expertise </w:t>
            </w:r>
            <w:r w:rsidRPr="00E57109">
              <w:rPr>
                <w:rFonts w:ascii="Arial" w:eastAsia="Arial Unicode MS" w:hAnsi="Arial" w:cs="Arial"/>
                <w:sz w:val="22"/>
                <w:szCs w:val="22"/>
              </w:rPr>
              <w:t>are reflected.</w:t>
            </w:r>
          </w:p>
          <w:p w:rsidR="00E727BD" w:rsidRPr="00E57109" w:rsidRDefault="00E727BD" w:rsidP="00D64F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109" w:rsidRPr="00E57109" w:rsidTr="00C1437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8" w:type="dxa"/>
          </w:tcPr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109">
              <w:rPr>
                <w:rFonts w:ascii="Arial" w:hAnsi="Arial" w:cs="Arial"/>
                <w:b/>
                <w:sz w:val="22"/>
                <w:szCs w:val="22"/>
              </w:rPr>
              <w:t>Chair</w:t>
            </w:r>
          </w:p>
        </w:tc>
        <w:tc>
          <w:tcPr>
            <w:tcW w:w="7623" w:type="dxa"/>
            <w:gridSpan w:val="2"/>
          </w:tcPr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2B43" w:rsidRPr="00E57109" w:rsidRDefault="00C51A46" w:rsidP="00852B43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The Council will</w:t>
            </w:r>
            <w:r w:rsidR="00BB641C" w:rsidRPr="00E57109">
              <w:rPr>
                <w:rFonts w:ascii="Arial" w:hAnsi="Arial" w:cs="Arial"/>
                <w:sz w:val="22"/>
                <w:szCs w:val="22"/>
              </w:rPr>
              <w:t xml:space="preserve"> annually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 elect a chair and deputy, or co-chairs.</w:t>
            </w: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109" w:rsidRPr="00E57109" w:rsidTr="00C1437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8" w:type="dxa"/>
          </w:tcPr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109">
              <w:rPr>
                <w:rFonts w:ascii="Arial" w:hAnsi="Arial" w:cs="Arial"/>
                <w:b/>
                <w:sz w:val="22"/>
                <w:szCs w:val="22"/>
              </w:rPr>
              <w:t>Quorum</w:t>
            </w:r>
          </w:p>
        </w:tc>
        <w:tc>
          <w:tcPr>
            <w:tcW w:w="7623" w:type="dxa"/>
            <w:gridSpan w:val="2"/>
          </w:tcPr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 xml:space="preserve">A quorum will be </w:t>
            </w:r>
            <w:r w:rsidR="00C55622" w:rsidRPr="00E57109">
              <w:rPr>
                <w:rFonts w:ascii="Arial" w:hAnsi="Arial" w:cs="Arial"/>
                <w:sz w:val="22"/>
                <w:szCs w:val="22"/>
              </w:rPr>
              <w:t>half the members if the number of members is even, and a majority if the number of members is odd.</w:t>
            </w: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109" w:rsidRPr="00E57109" w:rsidTr="00C1437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8" w:type="dxa"/>
          </w:tcPr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109">
              <w:rPr>
                <w:rFonts w:ascii="Arial" w:hAnsi="Arial" w:cs="Arial"/>
                <w:b/>
                <w:sz w:val="22"/>
                <w:szCs w:val="22"/>
              </w:rPr>
              <w:t>Meetings</w:t>
            </w:r>
          </w:p>
        </w:tc>
        <w:tc>
          <w:tcPr>
            <w:tcW w:w="7623" w:type="dxa"/>
            <w:gridSpan w:val="2"/>
          </w:tcPr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 xml:space="preserve">Meetings will be held monthly at least ten times per year, or more frequently at the request of the </w:t>
            </w:r>
            <w:r w:rsidR="00C51A46" w:rsidRPr="00E57109">
              <w:rPr>
                <w:rFonts w:ascii="Arial" w:hAnsi="Arial" w:cs="Arial"/>
                <w:sz w:val="22"/>
                <w:szCs w:val="22"/>
              </w:rPr>
              <w:t>c</w:t>
            </w:r>
            <w:r w:rsidRPr="00E57109">
              <w:rPr>
                <w:rFonts w:ascii="Arial" w:hAnsi="Arial" w:cs="Arial"/>
                <w:sz w:val="22"/>
                <w:szCs w:val="22"/>
              </w:rPr>
              <w:t>hair/co</w:t>
            </w:r>
            <w:r w:rsidR="00C51A46" w:rsidRPr="00E57109">
              <w:rPr>
                <w:rFonts w:ascii="Arial" w:hAnsi="Arial" w:cs="Arial"/>
                <w:sz w:val="22"/>
                <w:szCs w:val="22"/>
              </w:rPr>
              <w:t>-c</w:t>
            </w:r>
            <w:r w:rsidRPr="00E57109">
              <w:rPr>
                <w:rFonts w:ascii="Arial" w:hAnsi="Arial" w:cs="Arial"/>
                <w:sz w:val="22"/>
                <w:szCs w:val="22"/>
              </w:rPr>
              <w:t>hairs.</w:t>
            </w: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641" w:rsidRPr="00E57109" w:rsidRDefault="00CE4641" w:rsidP="00852B43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 xml:space="preserve">Meetings will generally be open to the public, but may move into </w:t>
            </w:r>
            <w:r w:rsidR="001F074E" w:rsidRPr="00E57109">
              <w:rPr>
                <w:rFonts w:ascii="Arial" w:hAnsi="Arial" w:cs="Arial"/>
                <w:sz w:val="22"/>
                <w:szCs w:val="22"/>
              </w:rPr>
              <w:t>“</w:t>
            </w:r>
            <w:r w:rsidRPr="00E57109">
              <w:rPr>
                <w:rFonts w:ascii="Arial" w:hAnsi="Arial" w:cs="Arial"/>
                <w:sz w:val="22"/>
                <w:szCs w:val="22"/>
              </w:rPr>
              <w:t>public excluded</w:t>
            </w:r>
            <w:r w:rsidR="001F074E" w:rsidRPr="00E57109">
              <w:rPr>
                <w:rFonts w:ascii="Arial" w:hAnsi="Arial" w:cs="Arial"/>
                <w:sz w:val="22"/>
                <w:szCs w:val="22"/>
              </w:rPr>
              <w:t>”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 where appropriate and shall be conducted in accordance with HBDHB Board Standing Orders as if the Council was a Board Committee.</w:t>
            </w:r>
          </w:p>
          <w:p w:rsidR="00CE4641" w:rsidRPr="00E57109" w:rsidRDefault="00CE4641" w:rsidP="00852B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2B43" w:rsidRPr="00E57109" w:rsidRDefault="00ED4820" w:rsidP="00852B43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A standing</w:t>
            </w:r>
            <w:r w:rsidR="00163111" w:rsidRPr="00E57109">
              <w:rPr>
                <w:rFonts w:ascii="Arial" w:hAnsi="Arial" w:cs="Arial"/>
                <w:sz w:val="22"/>
                <w:szCs w:val="22"/>
              </w:rPr>
              <w:t xml:space="preserve"> reciprocal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 invitation has been extended to the</w:t>
            </w:r>
            <w:r w:rsidR="00CE4641" w:rsidRPr="00E57109">
              <w:rPr>
                <w:rFonts w:ascii="Arial" w:hAnsi="Arial" w:cs="Arial"/>
                <w:sz w:val="22"/>
                <w:szCs w:val="22"/>
              </w:rPr>
              <w:t xml:space="preserve"> Hawke’s Bay Health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 Consumer Council for a representative to be in attendance at all meetings.</w:t>
            </w:r>
          </w:p>
          <w:p w:rsidR="00852B43" w:rsidRPr="00E57109" w:rsidRDefault="00852B43" w:rsidP="00852B43">
            <w:pPr>
              <w:rPr>
                <w:rFonts w:ascii="Arial" w:hAnsi="Arial" w:cs="Arial"/>
                <w:sz w:val="20"/>
                <w:szCs w:val="22"/>
              </w:rPr>
            </w:pPr>
          </w:p>
          <w:p w:rsidR="0063613A" w:rsidRPr="00E57109" w:rsidRDefault="00852B43" w:rsidP="00C12FBF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 xml:space="preserve">Matters may be dealt with between meetings through discussion with the </w:t>
            </w:r>
            <w:r w:rsidR="00C51A46" w:rsidRPr="00E57109">
              <w:rPr>
                <w:rFonts w:ascii="Arial" w:hAnsi="Arial" w:cs="Arial"/>
                <w:sz w:val="22"/>
                <w:szCs w:val="22"/>
              </w:rPr>
              <w:t>c</w:t>
            </w:r>
            <w:r w:rsidRPr="00E57109">
              <w:rPr>
                <w:rFonts w:ascii="Arial" w:hAnsi="Arial" w:cs="Arial"/>
                <w:sz w:val="22"/>
                <w:szCs w:val="22"/>
              </w:rPr>
              <w:t>hair/co</w:t>
            </w:r>
            <w:r w:rsidR="00C51A46" w:rsidRPr="00E57109">
              <w:rPr>
                <w:rFonts w:ascii="Arial" w:hAnsi="Arial" w:cs="Arial"/>
                <w:sz w:val="22"/>
                <w:szCs w:val="22"/>
              </w:rPr>
              <w:t>-</w:t>
            </w:r>
            <w:r w:rsidR="006F0256" w:rsidRPr="00E57109">
              <w:rPr>
                <w:rFonts w:ascii="Arial" w:hAnsi="Arial" w:cs="Arial"/>
                <w:sz w:val="22"/>
                <w:szCs w:val="22"/>
              </w:rPr>
              <w:t>c</w:t>
            </w:r>
            <w:r w:rsidRPr="00E57109">
              <w:rPr>
                <w:rFonts w:ascii="Arial" w:hAnsi="Arial" w:cs="Arial"/>
                <w:sz w:val="22"/>
                <w:szCs w:val="22"/>
              </w:rPr>
              <w:t>hair</w:t>
            </w:r>
            <w:r w:rsidR="00223DA8" w:rsidRPr="00E57109">
              <w:rPr>
                <w:rFonts w:ascii="Arial" w:hAnsi="Arial" w:cs="Arial"/>
                <w:sz w:val="22"/>
                <w:szCs w:val="22"/>
              </w:rPr>
              <w:t>s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 and other relevant members of the Council.</w:t>
            </w:r>
          </w:p>
          <w:p w:rsidR="002B52F5" w:rsidRPr="00E57109" w:rsidRDefault="002B52F5" w:rsidP="00C12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109" w:rsidRPr="00E57109" w:rsidTr="00C1437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8" w:type="dxa"/>
          </w:tcPr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109">
              <w:rPr>
                <w:rFonts w:ascii="Arial" w:hAnsi="Arial" w:cs="Arial"/>
                <w:b/>
                <w:sz w:val="22"/>
                <w:szCs w:val="22"/>
              </w:rPr>
              <w:t>Reporting</w:t>
            </w:r>
          </w:p>
        </w:tc>
        <w:tc>
          <w:tcPr>
            <w:tcW w:w="7623" w:type="dxa"/>
            <w:gridSpan w:val="2"/>
          </w:tcPr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 xml:space="preserve">The Council will report through HBDHB </w:t>
            </w:r>
            <w:r w:rsidR="00E01E3C" w:rsidRPr="00E57109">
              <w:rPr>
                <w:rFonts w:ascii="Arial" w:hAnsi="Arial" w:cs="Arial"/>
                <w:sz w:val="22"/>
                <w:szCs w:val="22"/>
              </w:rPr>
              <w:t>and Health Hawke’s Bay Limited</w:t>
            </w:r>
            <w:r w:rsidR="008C2E47" w:rsidRPr="00E571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3097" w:rsidRPr="00E57109">
              <w:rPr>
                <w:rFonts w:ascii="Arial" w:hAnsi="Arial" w:cs="Arial"/>
                <w:sz w:val="22"/>
                <w:szCs w:val="22"/>
              </w:rPr>
              <w:t>C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hief </w:t>
            </w:r>
            <w:r w:rsidR="00443097" w:rsidRPr="00E57109">
              <w:rPr>
                <w:rFonts w:ascii="Arial" w:hAnsi="Arial" w:cs="Arial"/>
                <w:sz w:val="22"/>
                <w:szCs w:val="22"/>
              </w:rPr>
              <w:t>E</w:t>
            </w:r>
            <w:r w:rsidRPr="00E57109">
              <w:rPr>
                <w:rFonts w:ascii="Arial" w:hAnsi="Arial" w:cs="Arial"/>
                <w:sz w:val="22"/>
                <w:szCs w:val="22"/>
              </w:rPr>
              <w:t>xecutive</w:t>
            </w:r>
            <w:r w:rsidR="008C2E47" w:rsidRPr="00E57109">
              <w:rPr>
                <w:rFonts w:ascii="Arial" w:hAnsi="Arial" w:cs="Arial"/>
                <w:sz w:val="22"/>
                <w:szCs w:val="22"/>
              </w:rPr>
              <w:t>s</w:t>
            </w:r>
            <w:r w:rsidRPr="00E57109"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r w:rsidR="008C2E47" w:rsidRPr="00E57109">
              <w:rPr>
                <w:rFonts w:ascii="Arial" w:hAnsi="Arial" w:cs="Arial"/>
                <w:sz w:val="22"/>
                <w:szCs w:val="22"/>
              </w:rPr>
              <w:t xml:space="preserve">respective </w:t>
            </w:r>
            <w:r w:rsidRPr="00E57109">
              <w:rPr>
                <w:rFonts w:ascii="Arial" w:hAnsi="Arial" w:cs="Arial"/>
                <w:sz w:val="22"/>
                <w:szCs w:val="22"/>
              </w:rPr>
              <w:t>Board</w:t>
            </w:r>
            <w:r w:rsidR="008C2E47" w:rsidRPr="00E57109">
              <w:rPr>
                <w:rFonts w:ascii="Arial" w:hAnsi="Arial" w:cs="Arial"/>
                <w:sz w:val="22"/>
                <w:szCs w:val="22"/>
              </w:rPr>
              <w:t>s</w:t>
            </w:r>
            <w:r w:rsidRPr="00E571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A monthly report of Council activities/decisions will be placed on the DHB website when approved.</w:t>
            </w:r>
          </w:p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109" w:rsidRPr="00E57109" w:rsidTr="00C1437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268" w:type="dxa"/>
          </w:tcPr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2B43" w:rsidRPr="00E57109" w:rsidRDefault="00852B43" w:rsidP="00852B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7109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</w:tc>
        <w:tc>
          <w:tcPr>
            <w:tcW w:w="7623" w:type="dxa"/>
            <w:gridSpan w:val="2"/>
          </w:tcPr>
          <w:p w:rsidR="00852B43" w:rsidRPr="00E57109" w:rsidRDefault="00852B43" w:rsidP="00852B43">
            <w:pPr>
              <w:rPr>
                <w:rFonts w:ascii="Arial" w:hAnsi="Arial" w:cs="Arial"/>
                <w:sz w:val="22"/>
                <w:szCs w:val="22"/>
              </w:rPr>
            </w:pPr>
          </w:p>
          <w:p w:rsidR="00852B43" w:rsidRPr="00E57109" w:rsidRDefault="00852B43" w:rsidP="00DB5196">
            <w:pPr>
              <w:rPr>
                <w:rFonts w:ascii="Arial" w:hAnsi="Arial" w:cs="Arial"/>
                <w:sz w:val="22"/>
                <w:szCs w:val="22"/>
              </w:rPr>
            </w:pPr>
            <w:r w:rsidRPr="00E57109">
              <w:rPr>
                <w:rFonts w:ascii="Arial" w:hAnsi="Arial" w:cs="Arial"/>
                <w:sz w:val="22"/>
                <w:szCs w:val="22"/>
              </w:rPr>
              <w:t>Minutes will be circulated to all members of the council within one week of the meeting taking place.</w:t>
            </w:r>
          </w:p>
        </w:tc>
      </w:tr>
    </w:tbl>
    <w:p w:rsidR="00946053" w:rsidRPr="00E57109" w:rsidRDefault="00946053" w:rsidP="00223DA8">
      <w:pPr>
        <w:ind w:right="-694"/>
        <w:jc w:val="center"/>
      </w:pPr>
    </w:p>
    <w:sectPr w:rsidR="00946053" w:rsidRPr="00E57109" w:rsidSect="00CF3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06" w:bottom="902" w:left="1080" w:header="709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00" w:rsidRDefault="00D36500" w:rsidP="005F6BE2">
      <w:r>
        <w:separator/>
      </w:r>
    </w:p>
  </w:endnote>
  <w:endnote w:type="continuationSeparator" w:id="0">
    <w:p w:rsidR="00D36500" w:rsidRDefault="00D36500" w:rsidP="005F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CA" w:rsidRDefault="004E7CCA" w:rsidP="00335C0B">
    <w:pPr>
      <w:pStyle w:val="Footer"/>
      <w:jc w:val="left"/>
    </w:pPr>
    <w:r w:rsidRPr="009A0B45">
      <w:rPr>
        <w:rStyle w:val="PageNumber"/>
        <w:rFonts w:ascii="Arial" w:hAnsi="Arial" w:cs="Arial"/>
        <w:b/>
        <w:sz w:val="20"/>
      </w:rPr>
      <w:fldChar w:fldCharType="begin"/>
    </w:r>
    <w:r w:rsidRPr="009A0B45">
      <w:rPr>
        <w:rStyle w:val="PageNumber"/>
        <w:rFonts w:ascii="Arial" w:hAnsi="Arial" w:cs="Arial"/>
        <w:b/>
        <w:sz w:val="20"/>
      </w:rPr>
      <w:instrText xml:space="preserve"> PAGE </w:instrText>
    </w:r>
    <w:r w:rsidRPr="009A0B45">
      <w:rPr>
        <w:rStyle w:val="PageNumber"/>
        <w:rFonts w:ascii="Arial" w:hAnsi="Arial" w:cs="Arial"/>
        <w:b/>
        <w:sz w:val="20"/>
      </w:rPr>
      <w:fldChar w:fldCharType="separate"/>
    </w:r>
    <w:r w:rsidR="0076660F">
      <w:rPr>
        <w:rStyle w:val="PageNumber"/>
        <w:rFonts w:ascii="Arial" w:hAnsi="Arial" w:cs="Arial"/>
        <w:b/>
        <w:noProof/>
        <w:sz w:val="20"/>
      </w:rPr>
      <w:t>2</w:t>
    </w:r>
    <w:r w:rsidRPr="009A0B45">
      <w:rPr>
        <w:rStyle w:val="PageNumber"/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CA" w:rsidRPr="00335C0B" w:rsidRDefault="004E7CCA" w:rsidP="00944387">
    <w:pPr>
      <w:pStyle w:val="Footer"/>
      <w:jc w:val="right"/>
      <w:rPr>
        <w:rFonts w:ascii="Arial" w:hAnsi="Arial" w:cs="Arial"/>
        <w:b/>
        <w:sz w:val="20"/>
        <w:szCs w:val="20"/>
      </w:rPr>
    </w:pPr>
    <w:r w:rsidRPr="00335C0B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335C0B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335C0B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257C8A">
      <w:rPr>
        <w:rStyle w:val="PageNumber"/>
        <w:rFonts w:ascii="Arial" w:hAnsi="Arial" w:cs="Arial"/>
        <w:b/>
        <w:noProof/>
        <w:sz w:val="20"/>
        <w:szCs w:val="20"/>
      </w:rPr>
      <w:t>3</w:t>
    </w:r>
    <w:r w:rsidRPr="00335C0B">
      <w:rPr>
        <w:rStyle w:val="PageNumber"/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CA" w:rsidRDefault="004E7CCA" w:rsidP="00CA74AE">
    <w:pPr>
      <w:pStyle w:val="Foot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  <w:p w:rsidR="004E7CCA" w:rsidRPr="00CA74AE" w:rsidRDefault="004E7CCA" w:rsidP="003D0A43">
    <w:pPr>
      <w:pStyle w:val="Footer"/>
      <w:jc w:val="right"/>
      <w:rPr>
        <w:rFonts w:ascii="Arial" w:hAnsi="Arial" w:cs="Arial"/>
        <w:b/>
        <w:sz w:val="20"/>
        <w:szCs w:val="20"/>
      </w:rPr>
    </w:pPr>
    <w:r w:rsidRPr="009A0B45">
      <w:rPr>
        <w:rStyle w:val="PageNumber"/>
        <w:rFonts w:ascii="Arial" w:hAnsi="Arial" w:cs="Arial"/>
        <w:b/>
        <w:sz w:val="20"/>
      </w:rPr>
      <w:fldChar w:fldCharType="begin"/>
    </w:r>
    <w:r w:rsidRPr="009A0B45">
      <w:rPr>
        <w:rStyle w:val="PageNumber"/>
        <w:rFonts w:ascii="Arial" w:hAnsi="Arial" w:cs="Arial"/>
        <w:b/>
        <w:sz w:val="20"/>
      </w:rPr>
      <w:instrText xml:space="preserve"> PAGE </w:instrText>
    </w:r>
    <w:r w:rsidRPr="009A0B45">
      <w:rPr>
        <w:rStyle w:val="PageNumber"/>
        <w:rFonts w:ascii="Arial" w:hAnsi="Arial" w:cs="Arial"/>
        <w:b/>
        <w:sz w:val="20"/>
      </w:rPr>
      <w:fldChar w:fldCharType="separate"/>
    </w:r>
    <w:r w:rsidR="0076660F">
      <w:rPr>
        <w:rStyle w:val="PageNumber"/>
        <w:rFonts w:ascii="Arial" w:hAnsi="Arial" w:cs="Arial"/>
        <w:b/>
        <w:noProof/>
        <w:sz w:val="20"/>
      </w:rPr>
      <w:t>1</w:t>
    </w:r>
    <w:r w:rsidRPr="009A0B45">
      <w:rPr>
        <w:rStyle w:val="PageNumber"/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00" w:rsidRDefault="00D36500" w:rsidP="005F6BE2">
      <w:r>
        <w:separator/>
      </w:r>
    </w:p>
  </w:footnote>
  <w:footnote w:type="continuationSeparator" w:id="0">
    <w:p w:rsidR="00D36500" w:rsidRDefault="00D36500" w:rsidP="005F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CA" w:rsidRDefault="004E7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CA" w:rsidRDefault="004E7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CA" w:rsidRDefault="004E7C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360"/>
    <w:multiLevelType w:val="hybridMultilevel"/>
    <w:tmpl w:val="87C61C24"/>
    <w:lvl w:ilvl="0" w:tplc="EEC45FD6">
      <w:start w:val="1"/>
      <w:numFmt w:val="bullet"/>
      <w:lvlText w:val=""/>
      <w:lvlJc w:val="left"/>
      <w:pPr>
        <w:tabs>
          <w:tab w:val="num" w:pos="576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61168"/>
    <w:multiLevelType w:val="hybridMultilevel"/>
    <w:tmpl w:val="E6B06F30"/>
    <w:lvl w:ilvl="0" w:tplc="E3E44534">
      <w:start w:val="1"/>
      <w:numFmt w:val="bullet"/>
      <w:pStyle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80D018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C27E56"/>
    <w:multiLevelType w:val="hybridMultilevel"/>
    <w:tmpl w:val="EECEE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6988"/>
    <w:multiLevelType w:val="hybridMultilevel"/>
    <w:tmpl w:val="BB9AB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CD2C35"/>
    <w:multiLevelType w:val="hybridMultilevel"/>
    <w:tmpl w:val="46AA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E3334"/>
    <w:multiLevelType w:val="hybridMultilevel"/>
    <w:tmpl w:val="59185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34EA8"/>
    <w:multiLevelType w:val="hybridMultilevel"/>
    <w:tmpl w:val="2EEEAB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EB3F86"/>
    <w:multiLevelType w:val="hybridMultilevel"/>
    <w:tmpl w:val="8324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131077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43"/>
    <w:rsid w:val="000107B5"/>
    <w:rsid w:val="00043CAF"/>
    <w:rsid w:val="000453A2"/>
    <w:rsid w:val="000A5AE3"/>
    <w:rsid w:val="0013273B"/>
    <w:rsid w:val="0013555F"/>
    <w:rsid w:val="00137C8D"/>
    <w:rsid w:val="00146FD7"/>
    <w:rsid w:val="00163111"/>
    <w:rsid w:val="001709B0"/>
    <w:rsid w:val="00183011"/>
    <w:rsid w:val="0018734D"/>
    <w:rsid w:val="001B62E8"/>
    <w:rsid w:val="001C429E"/>
    <w:rsid w:val="001D4E41"/>
    <w:rsid w:val="001F074E"/>
    <w:rsid w:val="00223DA8"/>
    <w:rsid w:val="002246E1"/>
    <w:rsid w:val="00257C8A"/>
    <w:rsid w:val="00271A1A"/>
    <w:rsid w:val="0028258D"/>
    <w:rsid w:val="00290624"/>
    <w:rsid w:val="00295B28"/>
    <w:rsid w:val="002B52F5"/>
    <w:rsid w:val="002C1A60"/>
    <w:rsid w:val="002C303B"/>
    <w:rsid w:val="002D46F0"/>
    <w:rsid w:val="00316A3F"/>
    <w:rsid w:val="00335C0B"/>
    <w:rsid w:val="00346A3D"/>
    <w:rsid w:val="00373870"/>
    <w:rsid w:val="003839D5"/>
    <w:rsid w:val="003857ED"/>
    <w:rsid w:val="0038724D"/>
    <w:rsid w:val="003A064C"/>
    <w:rsid w:val="003D0A43"/>
    <w:rsid w:val="003E11A1"/>
    <w:rsid w:val="00414D36"/>
    <w:rsid w:val="00443097"/>
    <w:rsid w:val="00446C57"/>
    <w:rsid w:val="00456DD8"/>
    <w:rsid w:val="00481822"/>
    <w:rsid w:val="004847FC"/>
    <w:rsid w:val="004A0023"/>
    <w:rsid w:val="004A2338"/>
    <w:rsid w:val="004C3987"/>
    <w:rsid w:val="004D2D5E"/>
    <w:rsid w:val="004D2F7D"/>
    <w:rsid w:val="004E3E31"/>
    <w:rsid w:val="004E4EAE"/>
    <w:rsid w:val="004E7CCA"/>
    <w:rsid w:val="00513BF0"/>
    <w:rsid w:val="005471B0"/>
    <w:rsid w:val="00560484"/>
    <w:rsid w:val="0059088D"/>
    <w:rsid w:val="005A7E1F"/>
    <w:rsid w:val="005F6BE2"/>
    <w:rsid w:val="006168B5"/>
    <w:rsid w:val="0063613A"/>
    <w:rsid w:val="00641A70"/>
    <w:rsid w:val="00666DE1"/>
    <w:rsid w:val="00670616"/>
    <w:rsid w:val="00687FED"/>
    <w:rsid w:val="00690746"/>
    <w:rsid w:val="006D71C1"/>
    <w:rsid w:val="006E0DE5"/>
    <w:rsid w:val="006F0256"/>
    <w:rsid w:val="00737C85"/>
    <w:rsid w:val="007427D8"/>
    <w:rsid w:val="0076660F"/>
    <w:rsid w:val="007B4716"/>
    <w:rsid w:val="007B6603"/>
    <w:rsid w:val="007C6C35"/>
    <w:rsid w:val="007E18AC"/>
    <w:rsid w:val="00803B22"/>
    <w:rsid w:val="008056A6"/>
    <w:rsid w:val="00844AE4"/>
    <w:rsid w:val="00852B43"/>
    <w:rsid w:val="0085407D"/>
    <w:rsid w:val="00877B36"/>
    <w:rsid w:val="00893BFD"/>
    <w:rsid w:val="008C2E47"/>
    <w:rsid w:val="008D61C7"/>
    <w:rsid w:val="008F544E"/>
    <w:rsid w:val="00907CF5"/>
    <w:rsid w:val="0091610E"/>
    <w:rsid w:val="00922205"/>
    <w:rsid w:val="00935B60"/>
    <w:rsid w:val="00943145"/>
    <w:rsid w:val="00944387"/>
    <w:rsid w:val="00946053"/>
    <w:rsid w:val="00946FB5"/>
    <w:rsid w:val="00950C3A"/>
    <w:rsid w:val="0096580B"/>
    <w:rsid w:val="009A75CA"/>
    <w:rsid w:val="009C46A4"/>
    <w:rsid w:val="009E02A6"/>
    <w:rsid w:val="009E1A96"/>
    <w:rsid w:val="009E1AB3"/>
    <w:rsid w:val="009E345F"/>
    <w:rsid w:val="009F5A9A"/>
    <w:rsid w:val="00A00059"/>
    <w:rsid w:val="00A05E66"/>
    <w:rsid w:val="00A12F9C"/>
    <w:rsid w:val="00A579A2"/>
    <w:rsid w:val="00A64BDE"/>
    <w:rsid w:val="00A70F08"/>
    <w:rsid w:val="00AE4632"/>
    <w:rsid w:val="00B145F5"/>
    <w:rsid w:val="00B248F2"/>
    <w:rsid w:val="00B634A1"/>
    <w:rsid w:val="00B64D31"/>
    <w:rsid w:val="00B7365E"/>
    <w:rsid w:val="00B81526"/>
    <w:rsid w:val="00BB641C"/>
    <w:rsid w:val="00BE3B2D"/>
    <w:rsid w:val="00C01277"/>
    <w:rsid w:val="00C12FBF"/>
    <w:rsid w:val="00C1437A"/>
    <w:rsid w:val="00C51A46"/>
    <w:rsid w:val="00C55622"/>
    <w:rsid w:val="00CA6819"/>
    <w:rsid w:val="00CA74AE"/>
    <w:rsid w:val="00CB28B9"/>
    <w:rsid w:val="00CD1088"/>
    <w:rsid w:val="00CD786F"/>
    <w:rsid w:val="00CE4641"/>
    <w:rsid w:val="00CF3090"/>
    <w:rsid w:val="00D06C7C"/>
    <w:rsid w:val="00D07305"/>
    <w:rsid w:val="00D276F6"/>
    <w:rsid w:val="00D36500"/>
    <w:rsid w:val="00D42572"/>
    <w:rsid w:val="00D46DCE"/>
    <w:rsid w:val="00D64F25"/>
    <w:rsid w:val="00D8413D"/>
    <w:rsid w:val="00DB5196"/>
    <w:rsid w:val="00DE4794"/>
    <w:rsid w:val="00DF3049"/>
    <w:rsid w:val="00E01E3C"/>
    <w:rsid w:val="00E23C3E"/>
    <w:rsid w:val="00E246B9"/>
    <w:rsid w:val="00E440DE"/>
    <w:rsid w:val="00E47DE5"/>
    <w:rsid w:val="00E57109"/>
    <w:rsid w:val="00E727BD"/>
    <w:rsid w:val="00E83010"/>
    <w:rsid w:val="00EC730C"/>
    <w:rsid w:val="00ED4820"/>
    <w:rsid w:val="00F05A48"/>
    <w:rsid w:val="00F372E4"/>
    <w:rsid w:val="00F53310"/>
    <w:rsid w:val="00F66B5B"/>
    <w:rsid w:val="00F67471"/>
    <w:rsid w:val="00F76F0E"/>
    <w:rsid w:val="00F9131E"/>
    <w:rsid w:val="00F920E9"/>
    <w:rsid w:val="00FC677C"/>
    <w:rsid w:val="00FC67C3"/>
    <w:rsid w:val="00FE2FF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392BDA45-1433-4C0F-BCEA-6C98AFCD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43"/>
    <w:pPr>
      <w:jc w:val="both"/>
    </w:pPr>
    <w:rPr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852B4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2B4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852B43"/>
  </w:style>
  <w:style w:type="paragraph" w:styleId="BodyText2">
    <w:name w:val="Body Text 2"/>
    <w:basedOn w:val="Normal"/>
    <w:rPr>
      <w:rFonts w:ascii="Arial" w:hAnsi="Arial"/>
      <w:sz w:val="18"/>
      <w:szCs w:val="20"/>
    </w:rPr>
  </w:style>
  <w:style w:type="paragraph" w:customStyle="1" w:styleId="Bullet">
    <w:name w:val="Bullet"/>
    <w:basedOn w:val="Normal"/>
    <w:pPr>
      <w:numPr>
        <w:numId w:val="1"/>
      </w:numPr>
      <w:overflowPunct w:val="0"/>
      <w:autoSpaceDE w:val="0"/>
      <w:autoSpaceDN w:val="0"/>
      <w:adjustRightInd w:val="0"/>
      <w:spacing w:before="120" w:line="280" w:lineRule="exact"/>
      <w:textAlignment w:val="baseline"/>
    </w:pPr>
    <w:rPr>
      <w:rFonts w:ascii="Arial" w:hAnsi="Arial"/>
      <w:kern w:val="28"/>
      <w:sz w:val="18"/>
      <w:szCs w:val="20"/>
    </w:rPr>
  </w:style>
  <w:style w:type="character" w:customStyle="1" w:styleId="BodyTextChar">
    <w:name w:val="Body Text Char"/>
    <w:link w:val="BodyText"/>
    <w:rsid w:val="00852B43"/>
    <w:rPr>
      <w:sz w:val="24"/>
      <w:szCs w:val="24"/>
      <w:lang w:val="en-NZ" w:eastAsia="en-US" w:bidi="ar-SA"/>
    </w:rPr>
  </w:style>
  <w:style w:type="table" w:styleId="TableGrid">
    <w:name w:val="Table Grid"/>
    <w:basedOn w:val="TableNormal"/>
    <w:rsid w:val="00852B4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Heading7"/>
    <w:rsid w:val="00852B43"/>
    <w:pPr>
      <w:keepNext/>
      <w:overflowPunct w:val="0"/>
      <w:autoSpaceDE w:val="0"/>
      <w:autoSpaceDN w:val="0"/>
      <w:adjustRightInd w:val="0"/>
      <w:spacing w:before="0" w:after="0"/>
      <w:jc w:val="center"/>
    </w:pPr>
    <w:rPr>
      <w:rFonts w:ascii="Arial" w:hAnsi="Arial"/>
      <w:sz w:val="32"/>
      <w:szCs w:val="20"/>
      <w:lang w:val="en-GB"/>
    </w:rPr>
  </w:style>
  <w:style w:type="paragraph" w:styleId="HTMLPreformatted">
    <w:name w:val="HTML Preformatted"/>
    <w:basedOn w:val="Normal"/>
    <w:rsid w:val="00852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ListParagraph">
    <w:name w:val="List Paragraph"/>
    <w:basedOn w:val="Normal"/>
    <w:qFormat/>
    <w:rsid w:val="00852B43"/>
    <w:pPr>
      <w:ind w:left="720"/>
      <w:contextualSpacing/>
      <w:jc w:val="left"/>
    </w:pPr>
    <w:rPr>
      <w:szCs w:val="20"/>
    </w:rPr>
  </w:style>
  <w:style w:type="paragraph" w:styleId="BalloonText">
    <w:name w:val="Balloon Text"/>
    <w:basedOn w:val="Normal"/>
    <w:semiHidden/>
    <w:rsid w:val="00F05A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443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44387"/>
  </w:style>
  <w:style w:type="character" w:customStyle="1" w:styleId="FooterChar">
    <w:name w:val="Footer Char"/>
    <w:link w:val="Footer"/>
    <w:uiPriority w:val="99"/>
    <w:locked/>
    <w:rsid w:val="00335C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E1DF-5277-497B-863E-88817BB8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B8DE5D32.dotm</Template>
  <TotalTime>0</TotalTime>
  <Pages>2</Pages>
  <Words>621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COUNCIL TERMS OF REFERENCE</vt:lpstr>
    </vt:vector>
  </TitlesOfParts>
  <Company>HBDHB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COUNCIL TERMS OF REFERENCE</dc:title>
  <dc:subject/>
  <dc:creator>dalittle</dc:creator>
  <cp:keywords/>
  <dc:description/>
  <cp:lastModifiedBy>Chris Lord</cp:lastModifiedBy>
  <cp:revision>2</cp:revision>
  <cp:lastPrinted>2014-09-16T01:30:00Z</cp:lastPrinted>
  <dcterms:created xsi:type="dcterms:W3CDTF">2016-05-17T20:30:00Z</dcterms:created>
  <dcterms:modified xsi:type="dcterms:W3CDTF">2016-05-17T20:30:00Z</dcterms:modified>
</cp:coreProperties>
</file>